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60" w:type="dxa"/>
        <w:tblInd w:w="120" w:type="dxa"/>
        <w:tblBorders>
          <w:top w:val="nil"/>
          <w:left w:val="nil"/>
          <w:bottom w:val="nil"/>
          <w:right w:val="nil"/>
          <w:insideH w:val="nil"/>
          <w:insideV w:val="nil"/>
        </w:tblBorders>
        <w:shd w:val="clear" w:color="auto" w:fill="E7F0F9"/>
        <w:tblCellMar>
          <w:left w:w="10" w:type="dxa"/>
          <w:right w:w="10" w:type="dxa"/>
        </w:tblCellMar>
        <w:tblLook w:val="0000"/>
      </w:tblPr>
      <w:tblGrid>
        <w:gridCol w:w="2254"/>
        <w:gridCol w:w="6746"/>
      </w:tblGrid>
      <w:tr w:rsidR="0079377C">
        <w:tblPrEx>
          <w:tblCellMar>
            <w:top w:w="0" w:type="dxa"/>
            <w:bottom w:w="0" w:type="dxa"/>
          </w:tblCellMar>
        </w:tblPrEx>
        <w:trPr>
          <w:tblCellSpacing w:w="60" w:type="dxa"/>
        </w:trPr>
        <w:tc>
          <w:tcPr>
            <w:tcW w:w="1200" w:type="pct"/>
            <w:shd w:val="clear" w:color="auto" w:fill="E7F0F9"/>
          </w:tcPr>
          <w:p w:rsidR="0079377C" w:rsidRDefault="00D64D14">
            <w:pPr>
              <w:spacing w:after="0" w:line="240" w:lineRule="auto"/>
            </w:pPr>
            <w:r>
              <w:rPr>
                <w:b/>
              </w:rPr>
              <w:t>RKP broj</w:t>
            </w:r>
          </w:p>
        </w:tc>
        <w:tc>
          <w:tcPr>
            <w:tcW w:w="0" w:type="auto"/>
            <w:shd w:val="clear" w:color="auto" w:fill="E7F0F9"/>
          </w:tcPr>
          <w:p w:rsidR="0079377C" w:rsidRDefault="00D64D14">
            <w:pPr>
              <w:spacing w:after="0" w:line="240" w:lineRule="auto"/>
            </w:pPr>
            <w:r>
              <w:t>50240</w:t>
            </w:r>
          </w:p>
        </w:tc>
      </w:tr>
      <w:tr w:rsidR="0079377C">
        <w:tblPrEx>
          <w:tblCellMar>
            <w:top w:w="0" w:type="dxa"/>
            <w:bottom w:w="0" w:type="dxa"/>
          </w:tblCellMar>
        </w:tblPrEx>
        <w:trPr>
          <w:tblCellSpacing w:w="60" w:type="dxa"/>
        </w:trPr>
        <w:tc>
          <w:tcPr>
            <w:tcW w:w="1200" w:type="pct"/>
            <w:shd w:val="clear" w:color="auto" w:fill="E7F0F9"/>
          </w:tcPr>
          <w:p w:rsidR="0079377C" w:rsidRDefault="00D64D14">
            <w:pPr>
              <w:spacing w:after="0" w:line="240" w:lineRule="auto"/>
            </w:pPr>
            <w:r>
              <w:rPr>
                <w:b/>
              </w:rPr>
              <w:t>Naziv obveznika</w:t>
            </w:r>
          </w:p>
        </w:tc>
        <w:tc>
          <w:tcPr>
            <w:tcW w:w="0" w:type="auto"/>
            <w:shd w:val="clear" w:color="auto" w:fill="E7F0F9"/>
          </w:tcPr>
          <w:p w:rsidR="0079377C" w:rsidRDefault="00D64D14">
            <w:pPr>
              <w:spacing w:after="0" w:line="240" w:lineRule="auto"/>
            </w:pPr>
            <w:r>
              <w:t>JAVNA USTANOVA ZA RAZVOJ MEĐIMURSKE ŽUPANIJE REDEA</w:t>
            </w:r>
          </w:p>
        </w:tc>
      </w:tr>
      <w:tr w:rsidR="0079377C">
        <w:tblPrEx>
          <w:tblCellMar>
            <w:top w:w="0" w:type="dxa"/>
            <w:bottom w:w="0" w:type="dxa"/>
          </w:tblCellMar>
        </w:tblPrEx>
        <w:trPr>
          <w:tblCellSpacing w:w="60" w:type="dxa"/>
        </w:trPr>
        <w:tc>
          <w:tcPr>
            <w:tcW w:w="1200" w:type="pct"/>
            <w:shd w:val="clear" w:color="auto" w:fill="E7F0F9"/>
          </w:tcPr>
          <w:p w:rsidR="0079377C" w:rsidRDefault="00D64D14">
            <w:pPr>
              <w:spacing w:after="0" w:line="240" w:lineRule="auto"/>
            </w:pPr>
            <w:r>
              <w:rPr>
                <w:b/>
              </w:rPr>
              <w:t>Razina</w:t>
            </w:r>
          </w:p>
        </w:tc>
        <w:tc>
          <w:tcPr>
            <w:tcW w:w="0" w:type="auto"/>
            <w:shd w:val="clear" w:color="auto" w:fill="E7F0F9"/>
          </w:tcPr>
          <w:p w:rsidR="0079377C" w:rsidRDefault="00D64D14">
            <w:pPr>
              <w:spacing w:after="0" w:line="240" w:lineRule="auto"/>
            </w:pPr>
            <w:r>
              <w:t>21</w:t>
            </w:r>
          </w:p>
        </w:tc>
      </w:tr>
    </w:tbl>
    <w:p w:rsidR="0079377C" w:rsidRDefault="00D64D14">
      <w:r>
        <w:br/>
      </w:r>
    </w:p>
    <w:p w:rsidR="0079377C" w:rsidRDefault="00D64D14">
      <w:pPr>
        <w:spacing w:line="240" w:lineRule="auto"/>
        <w:jc w:val="center"/>
      </w:pPr>
      <w:r>
        <w:rPr>
          <w:b/>
          <w:sz w:val="28"/>
        </w:rPr>
        <w:t>BILJEŠKE UZ FINANCIJSKE IZVJEŠTAJE</w:t>
      </w:r>
    </w:p>
    <w:p w:rsidR="0079377C" w:rsidRDefault="00D64D14">
      <w:pPr>
        <w:spacing w:line="240" w:lineRule="auto"/>
        <w:jc w:val="center"/>
      </w:pPr>
      <w:r>
        <w:rPr>
          <w:b/>
          <w:sz w:val="28"/>
        </w:rPr>
        <w:t>ZA RAZDOBLJE</w:t>
      </w:r>
    </w:p>
    <w:p w:rsidR="0079377C" w:rsidRDefault="00D64D14">
      <w:pPr>
        <w:spacing w:line="240" w:lineRule="auto"/>
        <w:jc w:val="center"/>
      </w:pPr>
      <w:r>
        <w:rPr>
          <w:b/>
          <w:sz w:val="28"/>
        </w:rPr>
        <w:t>I - XII 2025.</w:t>
      </w:r>
    </w:p>
    <w:p w:rsidR="0079377C" w:rsidRDefault="0079377C"/>
    <w:p w:rsidR="0079377C" w:rsidRDefault="00D64D14">
      <w:pPr>
        <w:keepNext/>
        <w:spacing w:line="240" w:lineRule="auto"/>
        <w:jc w:val="center"/>
      </w:pPr>
      <w:r>
        <w:rPr>
          <w:b/>
          <w:sz w:val="28"/>
        </w:rPr>
        <w:t>Izvještaj o prihodima i rashodima, primicima i izdacima</w:t>
      </w:r>
    </w:p>
    <w:p w:rsidR="0079377C" w:rsidRDefault="00D64D14">
      <w:pPr>
        <w:keepNext/>
        <w:spacing w:line="240" w:lineRule="auto"/>
        <w:jc w:val="center"/>
      </w:pPr>
      <w:r>
        <w:rPr>
          <w:sz w:val="28"/>
        </w:rPr>
        <w:t>Bilješka 1.</w:t>
      </w:r>
    </w:p>
    <w:tbl>
      <w:tblPr>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6</w:t>
            </w:r>
          </w:p>
        </w:tc>
        <w:tc>
          <w:tcPr>
            <w:tcW w:w="3180" w:type="dxa"/>
            <w:tcMar>
              <w:top w:w="0" w:type="dxa"/>
              <w:bottom w:w="0" w:type="dxa"/>
            </w:tcMar>
            <w:vAlign w:val="center"/>
          </w:tcPr>
          <w:p w:rsidR="0079377C" w:rsidRDefault="00D64D14">
            <w:pPr>
              <w:keepNext/>
              <w:keepLines/>
              <w:spacing w:after="0" w:line="240" w:lineRule="auto"/>
            </w:pPr>
            <w:r>
              <w:rPr>
                <w:sz w:val="18"/>
              </w:rPr>
              <w:t>PRIHODI POSLOVANJA (šifre 61+62+63+64+65+66+67+68)</w:t>
            </w:r>
          </w:p>
        </w:tc>
        <w:tc>
          <w:tcPr>
            <w:tcW w:w="700" w:type="dxa"/>
            <w:tcMar>
              <w:top w:w="0" w:type="dxa"/>
              <w:bottom w:w="0" w:type="dxa"/>
            </w:tcMar>
            <w:vAlign w:val="center"/>
          </w:tcPr>
          <w:p w:rsidR="0079377C" w:rsidRDefault="00D64D14">
            <w:pPr>
              <w:keepNext/>
              <w:keepLines/>
              <w:spacing w:after="0" w:line="240" w:lineRule="auto"/>
            </w:pPr>
            <w:r>
              <w:rPr>
                <w:sz w:val="18"/>
              </w:rPr>
              <w:t>6</w:t>
            </w:r>
          </w:p>
        </w:tc>
        <w:tc>
          <w:tcPr>
            <w:tcW w:w="1860" w:type="dxa"/>
            <w:tcMar>
              <w:top w:w="0" w:type="dxa"/>
              <w:bottom w:w="0" w:type="dxa"/>
            </w:tcMar>
            <w:vAlign w:val="center"/>
          </w:tcPr>
          <w:p w:rsidR="0079377C" w:rsidRDefault="00D64D14">
            <w:pPr>
              <w:keepNext/>
              <w:keepLines/>
              <w:spacing w:after="0" w:line="240" w:lineRule="auto"/>
              <w:jc w:val="right"/>
            </w:pPr>
            <w:r>
              <w:rPr>
                <w:sz w:val="18"/>
              </w:rPr>
              <w:t>1.327.872,17</w:t>
            </w:r>
          </w:p>
        </w:tc>
        <w:tc>
          <w:tcPr>
            <w:tcW w:w="1860" w:type="dxa"/>
            <w:tcMar>
              <w:top w:w="0" w:type="dxa"/>
              <w:bottom w:w="0" w:type="dxa"/>
            </w:tcMar>
            <w:vAlign w:val="center"/>
          </w:tcPr>
          <w:p w:rsidR="0079377C" w:rsidRDefault="00D64D14">
            <w:pPr>
              <w:keepNext/>
              <w:keepLines/>
              <w:spacing w:after="0" w:line="240" w:lineRule="auto"/>
              <w:jc w:val="right"/>
            </w:pPr>
            <w:r>
              <w:rPr>
                <w:sz w:val="18"/>
              </w:rPr>
              <w:t>1.637.526,63</w:t>
            </w:r>
          </w:p>
        </w:tc>
        <w:tc>
          <w:tcPr>
            <w:tcW w:w="700" w:type="dxa"/>
            <w:tcMar>
              <w:top w:w="0" w:type="dxa"/>
              <w:bottom w:w="0" w:type="dxa"/>
            </w:tcMar>
            <w:vAlign w:val="center"/>
          </w:tcPr>
          <w:p w:rsidR="0079377C" w:rsidRDefault="00D64D14">
            <w:pPr>
              <w:keepNext/>
              <w:keepLines/>
              <w:spacing w:after="0" w:line="240" w:lineRule="auto"/>
              <w:jc w:val="right"/>
            </w:pPr>
            <w:r>
              <w:rPr>
                <w:sz w:val="18"/>
              </w:rPr>
              <w:t>123,3</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w:t>
            </w:r>
          </w:p>
        </w:tc>
        <w:tc>
          <w:tcPr>
            <w:tcW w:w="3180" w:type="dxa"/>
            <w:tcMar>
              <w:top w:w="0" w:type="dxa"/>
              <w:bottom w:w="0" w:type="dxa"/>
            </w:tcMar>
            <w:vAlign w:val="center"/>
          </w:tcPr>
          <w:p w:rsidR="0079377C" w:rsidRDefault="00D64D14">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79377C" w:rsidRDefault="00D64D14">
            <w:pPr>
              <w:keepNext/>
              <w:keepLines/>
              <w:spacing w:after="0" w:line="240" w:lineRule="auto"/>
            </w:pPr>
            <w:r>
              <w:rPr>
                <w:sz w:val="18"/>
              </w:rPr>
              <w:t>3</w:t>
            </w:r>
          </w:p>
        </w:tc>
        <w:tc>
          <w:tcPr>
            <w:tcW w:w="1860" w:type="dxa"/>
            <w:tcMar>
              <w:top w:w="0" w:type="dxa"/>
              <w:bottom w:w="0" w:type="dxa"/>
            </w:tcMar>
            <w:vAlign w:val="center"/>
          </w:tcPr>
          <w:p w:rsidR="0079377C" w:rsidRDefault="00D64D14">
            <w:pPr>
              <w:keepNext/>
              <w:keepLines/>
              <w:spacing w:after="0" w:line="240" w:lineRule="auto"/>
              <w:jc w:val="right"/>
            </w:pPr>
            <w:r>
              <w:rPr>
                <w:sz w:val="18"/>
              </w:rPr>
              <w:t>1.113.881,09</w:t>
            </w:r>
          </w:p>
        </w:tc>
        <w:tc>
          <w:tcPr>
            <w:tcW w:w="1860" w:type="dxa"/>
            <w:tcMar>
              <w:top w:w="0" w:type="dxa"/>
              <w:bottom w:w="0" w:type="dxa"/>
            </w:tcMar>
            <w:vAlign w:val="center"/>
          </w:tcPr>
          <w:p w:rsidR="0079377C" w:rsidRDefault="00D64D14">
            <w:pPr>
              <w:keepNext/>
              <w:keepLines/>
              <w:spacing w:after="0" w:line="240" w:lineRule="auto"/>
              <w:jc w:val="right"/>
            </w:pPr>
            <w:r>
              <w:rPr>
                <w:sz w:val="18"/>
              </w:rPr>
              <w:t>1.791.572,34</w:t>
            </w:r>
          </w:p>
        </w:tc>
        <w:tc>
          <w:tcPr>
            <w:tcW w:w="700" w:type="dxa"/>
            <w:tcMar>
              <w:top w:w="0" w:type="dxa"/>
              <w:bottom w:w="0" w:type="dxa"/>
            </w:tcMar>
            <w:vAlign w:val="center"/>
          </w:tcPr>
          <w:p w:rsidR="0079377C" w:rsidRDefault="00D64D14">
            <w:pPr>
              <w:keepNext/>
              <w:keepLines/>
              <w:spacing w:after="0" w:line="240" w:lineRule="auto"/>
              <w:jc w:val="right"/>
            </w:pPr>
            <w:r>
              <w:rPr>
                <w:sz w:val="18"/>
              </w:rPr>
              <w:t>160,8</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b/>
                <w:sz w:val="18"/>
              </w:rPr>
              <w:t>MANJAK PRIHODA POSLOVANJA (šifre Z005-6)</w:t>
            </w:r>
          </w:p>
        </w:tc>
        <w:tc>
          <w:tcPr>
            <w:tcW w:w="700" w:type="dxa"/>
            <w:tcMar>
              <w:top w:w="0" w:type="dxa"/>
              <w:bottom w:w="0" w:type="dxa"/>
            </w:tcMar>
            <w:vAlign w:val="center"/>
          </w:tcPr>
          <w:p w:rsidR="0079377C" w:rsidRDefault="00D64D14">
            <w:pPr>
              <w:keepNext/>
              <w:keepLines/>
              <w:spacing w:after="0" w:line="240" w:lineRule="auto"/>
            </w:pPr>
            <w:r>
              <w:rPr>
                <w:b/>
                <w:sz w:val="18"/>
              </w:rPr>
              <w:t>Y001</w:t>
            </w:r>
          </w:p>
        </w:tc>
        <w:tc>
          <w:tcPr>
            <w:tcW w:w="1860" w:type="dxa"/>
            <w:tcMar>
              <w:top w:w="0" w:type="dxa"/>
              <w:bottom w:w="0" w:type="dxa"/>
            </w:tcMar>
            <w:vAlign w:val="center"/>
          </w:tcPr>
          <w:p w:rsidR="0079377C" w:rsidRDefault="00D64D14">
            <w:pPr>
              <w:keepNext/>
              <w:keepLines/>
              <w:spacing w:after="0" w:line="240" w:lineRule="auto"/>
              <w:jc w:val="right"/>
            </w:pPr>
            <w:r>
              <w:rPr>
                <w:b/>
                <w:sz w:val="18"/>
              </w:rPr>
              <w:t>0,00</w:t>
            </w:r>
          </w:p>
        </w:tc>
        <w:tc>
          <w:tcPr>
            <w:tcW w:w="1860" w:type="dxa"/>
            <w:tcMar>
              <w:top w:w="0" w:type="dxa"/>
              <w:bottom w:w="0" w:type="dxa"/>
            </w:tcMar>
            <w:vAlign w:val="center"/>
          </w:tcPr>
          <w:p w:rsidR="0079377C" w:rsidRDefault="00D64D14">
            <w:pPr>
              <w:keepNext/>
              <w:keepLines/>
              <w:spacing w:after="0" w:line="240" w:lineRule="auto"/>
              <w:jc w:val="right"/>
            </w:pPr>
            <w:r>
              <w:rPr>
                <w:b/>
                <w:sz w:val="18"/>
              </w:rPr>
              <w:t>154.045,71</w:t>
            </w:r>
          </w:p>
        </w:tc>
        <w:tc>
          <w:tcPr>
            <w:tcW w:w="700" w:type="dxa"/>
            <w:tcMar>
              <w:top w:w="0" w:type="dxa"/>
              <w:bottom w:w="0" w:type="dxa"/>
            </w:tcMar>
            <w:vAlign w:val="center"/>
          </w:tcPr>
          <w:p w:rsidR="0079377C" w:rsidRDefault="00D64D14">
            <w:pPr>
              <w:keepNext/>
              <w:keepLines/>
              <w:spacing w:after="0" w:line="240" w:lineRule="auto"/>
              <w:jc w:val="right"/>
            </w:pPr>
            <w:r>
              <w:rPr>
                <w:b/>
                <w:sz w:val="18"/>
              </w:rPr>
              <w:t>-</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7</w:t>
            </w:r>
          </w:p>
        </w:tc>
        <w:tc>
          <w:tcPr>
            <w:tcW w:w="3180" w:type="dxa"/>
            <w:tcMar>
              <w:top w:w="0" w:type="dxa"/>
              <w:bottom w:w="0" w:type="dxa"/>
            </w:tcMar>
            <w:vAlign w:val="center"/>
          </w:tcPr>
          <w:p w:rsidR="0079377C" w:rsidRDefault="00D64D1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9377C" w:rsidRDefault="00D64D14">
            <w:pPr>
              <w:keepNext/>
              <w:keepLines/>
              <w:spacing w:after="0" w:line="240" w:lineRule="auto"/>
            </w:pPr>
            <w:r>
              <w:rPr>
                <w:sz w:val="18"/>
              </w:rPr>
              <w:t>7</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4</w:t>
            </w:r>
          </w:p>
        </w:tc>
        <w:tc>
          <w:tcPr>
            <w:tcW w:w="3180" w:type="dxa"/>
            <w:tcMar>
              <w:top w:w="0" w:type="dxa"/>
              <w:bottom w:w="0" w:type="dxa"/>
            </w:tcMar>
            <w:vAlign w:val="center"/>
          </w:tcPr>
          <w:p w:rsidR="0079377C" w:rsidRDefault="00D64D14">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79377C" w:rsidRDefault="00D64D14">
            <w:pPr>
              <w:keepNext/>
              <w:keepLines/>
              <w:spacing w:after="0" w:line="240" w:lineRule="auto"/>
            </w:pPr>
            <w:r>
              <w:rPr>
                <w:sz w:val="18"/>
              </w:rPr>
              <w:t>4</w:t>
            </w:r>
          </w:p>
        </w:tc>
        <w:tc>
          <w:tcPr>
            <w:tcW w:w="1860" w:type="dxa"/>
            <w:tcMar>
              <w:top w:w="0" w:type="dxa"/>
              <w:bottom w:w="0" w:type="dxa"/>
            </w:tcMar>
            <w:vAlign w:val="center"/>
          </w:tcPr>
          <w:p w:rsidR="0079377C" w:rsidRDefault="00D64D14">
            <w:pPr>
              <w:keepNext/>
              <w:keepLines/>
              <w:spacing w:after="0" w:line="240" w:lineRule="auto"/>
              <w:jc w:val="right"/>
            </w:pPr>
            <w:r>
              <w:rPr>
                <w:sz w:val="18"/>
              </w:rPr>
              <w:t>6.879,00</w:t>
            </w:r>
          </w:p>
        </w:tc>
        <w:tc>
          <w:tcPr>
            <w:tcW w:w="1860" w:type="dxa"/>
            <w:tcMar>
              <w:top w:w="0" w:type="dxa"/>
              <w:bottom w:w="0" w:type="dxa"/>
            </w:tcMar>
            <w:vAlign w:val="center"/>
          </w:tcPr>
          <w:p w:rsidR="0079377C" w:rsidRDefault="00D64D14">
            <w:pPr>
              <w:keepNext/>
              <w:keepLines/>
              <w:spacing w:after="0" w:line="240" w:lineRule="auto"/>
              <w:jc w:val="right"/>
            </w:pPr>
            <w:r>
              <w:rPr>
                <w:sz w:val="18"/>
              </w:rPr>
              <w:t>40.582,18</w:t>
            </w:r>
          </w:p>
        </w:tc>
        <w:tc>
          <w:tcPr>
            <w:tcW w:w="700" w:type="dxa"/>
            <w:tcMar>
              <w:top w:w="0" w:type="dxa"/>
              <w:bottom w:w="0" w:type="dxa"/>
            </w:tcMar>
            <w:vAlign w:val="center"/>
          </w:tcPr>
          <w:p w:rsidR="0079377C" w:rsidRDefault="00D64D14">
            <w:pPr>
              <w:keepNext/>
              <w:keepLines/>
              <w:spacing w:after="0" w:line="240" w:lineRule="auto"/>
              <w:jc w:val="right"/>
            </w:pPr>
            <w:r>
              <w:rPr>
                <w:sz w:val="18"/>
              </w:rPr>
              <w:t>589,9</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9377C" w:rsidRDefault="00D64D14">
            <w:pPr>
              <w:keepNext/>
              <w:keepLines/>
              <w:spacing w:after="0" w:line="240" w:lineRule="auto"/>
            </w:pPr>
            <w:r>
              <w:rPr>
                <w:b/>
                <w:sz w:val="18"/>
              </w:rPr>
              <w:t>Y002</w:t>
            </w:r>
          </w:p>
        </w:tc>
        <w:tc>
          <w:tcPr>
            <w:tcW w:w="1860" w:type="dxa"/>
            <w:tcMar>
              <w:top w:w="0" w:type="dxa"/>
              <w:bottom w:w="0" w:type="dxa"/>
            </w:tcMar>
            <w:vAlign w:val="center"/>
          </w:tcPr>
          <w:p w:rsidR="0079377C" w:rsidRDefault="00D64D14">
            <w:pPr>
              <w:keepNext/>
              <w:keepLines/>
              <w:spacing w:after="0" w:line="240" w:lineRule="auto"/>
              <w:jc w:val="right"/>
            </w:pPr>
            <w:r>
              <w:rPr>
                <w:b/>
                <w:sz w:val="18"/>
              </w:rPr>
              <w:t>6.879,00</w:t>
            </w:r>
          </w:p>
        </w:tc>
        <w:tc>
          <w:tcPr>
            <w:tcW w:w="1860" w:type="dxa"/>
            <w:tcMar>
              <w:top w:w="0" w:type="dxa"/>
              <w:bottom w:w="0" w:type="dxa"/>
            </w:tcMar>
            <w:vAlign w:val="center"/>
          </w:tcPr>
          <w:p w:rsidR="0079377C" w:rsidRDefault="00D64D14">
            <w:pPr>
              <w:keepNext/>
              <w:keepLines/>
              <w:spacing w:after="0" w:line="240" w:lineRule="auto"/>
              <w:jc w:val="right"/>
            </w:pPr>
            <w:r>
              <w:rPr>
                <w:b/>
                <w:sz w:val="18"/>
              </w:rPr>
              <w:t>40.582,18</w:t>
            </w:r>
          </w:p>
        </w:tc>
        <w:tc>
          <w:tcPr>
            <w:tcW w:w="700" w:type="dxa"/>
            <w:tcMar>
              <w:top w:w="0" w:type="dxa"/>
              <w:bottom w:w="0" w:type="dxa"/>
            </w:tcMar>
            <w:vAlign w:val="center"/>
          </w:tcPr>
          <w:p w:rsidR="0079377C" w:rsidRDefault="00D64D14">
            <w:pPr>
              <w:keepNext/>
              <w:keepLines/>
              <w:spacing w:after="0" w:line="240" w:lineRule="auto"/>
              <w:jc w:val="right"/>
            </w:pPr>
            <w:r>
              <w:rPr>
                <w:b/>
                <w:sz w:val="18"/>
              </w:rPr>
              <w:t>589,9</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8</w:t>
            </w:r>
          </w:p>
        </w:tc>
        <w:tc>
          <w:tcPr>
            <w:tcW w:w="3180" w:type="dxa"/>
            <w:tcMar>
              <w:top w:w="0" w:type="dxa"/>
              <w:bottom w:w="0" w:type="dxa"/>
            </w:tcMar>
            <w:vAlign w:val="center"/>
          </w:tcPr>
          <w:p w:rsidR="0079377C" w:rsidRDefault="00D64D1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9377C" w:rsidRDefault="00D64D14">
            <w:pPr>
              <w:keepNext/>
              <w:keepLines/>
              <w:spacing w:after="0" w:line="240" w:lineRule="auto"/>
            </w:pPr>
            <w:r>
              <w:rPr>
                <w:sz w:val="18"/>
              </w:rPr>
              <w:t>8</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5</w:t>
            </w:r>
          </w:p>
        </w:tc>
        <w:tc>
          <w:tcPr>
            <w:tcW w:w="3180" w:type="dxa"/>
            <w:tcMar>
              <w:top w:w="0" w:type="dxa"/>
              <w:bottom w:w="0" w:type="dxa"/>
            </w:tcMar>
            <w:vAlign w:val="center"/>
          </w:tcPr>
          <w:p w:rsidR="0079377C" w:rsidRDefault="00D64D14">
            <w:pPr>
              <w:keepNext/>
              <w:keepLines/>
              <w:spacing w:after="0" w:line="240" w:lineRule="auto"/>
            </w:pPr>
            <w:r>
              <w:rPr>
                <w:sz w:val="18"/>
              </w:rPr>
              <w:t xml:space="preserve">Izdaci za financijsku imovinu i otplate </w:t>
            </w:r>
            <w:r>
              <w:rPr>
                <w:sz w:val="18"/>
              </w:rPr>
              <w:t>zajmova (šifre 51+52+53+54+55)</w:t>
            </w:r>
          </w:p>
        </w:tc>
        <w:tc>
          <w:tcPr>
            <w:tcW w:w="700" w:type="dxa"/>
            <w:tcMar>
              <w:top w:w="0" w:type="dxa"/>
              <w:bottom w:w="0" w:type="dxa"/>
            </w:tcMar>
            <w:vAlign w:val="center"/>
          </w:tcPr>
          <w:p w:rsidR="0079377C" w:rsidRDefault="00D64D14">
            <w:pPr>
              <w:keepNext/>
              <w:keepLines/>
              <w:spacing w:after="0" w:line="240" w:lineRule="auto"/>
            </w:pPr>
            <w:r>
              <w:rPr>
                <w:sz w:val="18"/>
              </w:rPr>
              <w:t>5</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9377C" w:rsidRDefault="00D64D14">
            <w:pPr>
              <w:keepNext/>
              <w:keepLines/>
              <w:spacing w:after="0" w:line="240" w:lineRule="auto"/>
            </w:pPr>
            <w:r>
              <w:rPr>
                <w:b/>
                <w:sz w:val="18"/>
              </w:rPr>
              <w:t>X003, Y003</w:t>
            </w:r>
          </w:p>
        </w:tc>
        <w:tc>
          <w:tcPr>
            <w:tcW w:w="1860" w:type="dxa"/>
            <w:tcMar>
              <w:top w:w="0" w:type="dxa"/>
              <w:bottom w:w="0" w:type="dxa"/>
            </w:tcMar>
            <w:vAlign w:val="center"/>
          </w:tcPr>
          <w:p w:rsidR="0079377C" w:rsidRDefault="00D64D14">
            <w:pPr>
              <w:keepNext/>
              <w:keepLines/>
              <w:spacing w:after="0" w:line="240" w:lineRule="auto"/>
              <w:jc w:val="right"/>
            </w:pPr>
            <w:r>
              <w:rPr>
                <w:b/>
                <w:sz w:val="18"/>
              </w:rPr>
              <w:t>0,00</w:t>
            </w:r>
          </w:p>
        </w:tc>
        <w:tc>
          <w:tcPr>
            <w:tcW w:w="1860" w:type="dxa"/>
            <w:tcMar>
              <w:top w:w="0" w:type="dxa"/>
              <w:bottom w:w="0" w:type="dxa"/>
            </w:tcMar>
            <w:vAlign w:val="center"/>
          </w:tcPr>
          <w:p w:rsidR="0079377C" w:rsidRDefault="00D64D14">
            <w:pPr>
              <w:keepNext/>
              <w:keepLines/>
              <w:spacing w:after="0" w:line="240" w:lineRule="auto"/>
              <w:jc w:val="right"/>
            </w:pPr>
            <w:r>
              <w:rPr>
                <w:b/>
                <w:sz w:val="18"/>
              </w:rPr>
              <w:t>0,00</w:t>
            </w:r>
          </w:p>
        </w:tc>
        <w:tc>
          <w:tcPr>
            <w:tcW w:w="700" w:type="dxa"/>
            <w:tcMar>
              <w:top w:w="0" w:type="dxa"/>
              <w:bottom w:w="0" w:type="dxa"/>
            </w:tcMar>
            <w:vAlign w:val="center"/>
          </w:tcPr>
          <w:p w:rsidR="0079377C" w:rsidRDefault="00D64D14">
            <w:pPr>
              <w:keepNext/>
              <w:keepLines/>
              <w:spacing w:after="0" w:line="240" w:lineRule="auto"/>
              <w:jc w:val="right"/>
            </w:pPr>
            <w:r>
              <w:rPr>
                <w:b/>
                <w:sz w:val="18"/>
              </w:rPr>
              <w:t>-</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b/>
                <w:sz w:val="18"/>
              </w:rPr>
              <w:t>MANJAK PRIHODA I PRIMITAKA (šifre Y345-X678)</w:t>
            </w:r>
          </w:p>
        </w:tc>
        <w:tc>
          <w:tcPr>
            <w:tcW w:w="700" w:type="dxa"/>
            <w:tcMar>
              <w:top w:w="0" w:type="dxa"/>
              <w:bottom w:w="0" w:type="dxa"/>
            </w:tcMar>
            <w:vAlign w:val="center"/>
          </w:tcPr>
          <w:p w:rsidR="0079377C" w:rsidRDefault="00D64D14">
            <w:pPr>
              <w:keepNext/>
              <w:keepLines/>
              <w:spacing w:after="0" w:line="240" w:lineRule="auto"/>
            </w:pPr>
            <w:r>
              <w:rPr>
                <w:b/>
                <w:sz w:val="18"/>
              </w:rPr>
              <w:t>Y005</w:t>
            </w:r>
          </w:p>
        </w:tc>
        <w:tc>
          <w:tcPr>
            <w:tcW w:w="1860" w:type="dxa"/>
            <w:tcMar>
              <w:top w:w="0" w:type="dxa"/>
              <w:bottom w:w="0" w:type="dxa"/>
            </w:tcMar>
            <w:vAlign w:val="center"/>
          </w:tcPr>
          <w:p w:rsidR="0079377C" w:rsidRDefault="00D64D14">
            <w:pPr>
              <w:keepNext/>
              <w:keepLines/>
              <w:spacing w:after="0" w:line="240" w:lineRule="auto"/>
              <w:jc w:val="right"/>
            </w:pPr>
            <w:r>
              <w:rPr>
                <w:b/>
                <w:sz w:val="18"/>
              </w:rPr>
              <w:t>0,00</w:t>
            </w:r>
          </w:p>
        </w:tc>
        <w:tc>
          <w:tcPr>
            <w:tcW w:w="1860" w:type="dxa"/>
            <w:tcMar>
              <w:top w:w="0" w:type="dxa"/>
              <w:bottom w:w="0" w:type="dxa"/>
            </w:tcMar>
            <w:vAlign w:val="center"/>
          </w:tcPr>
          <w:p w:rsidR="0079377C" w:rsidRDefault="00D64D14">
            <w:pPr>
              <w:keepNext/>
              <w:keepLines/>
              <w:spacing w:after="0" w:line="240" w:lineRule="auto"/>
              <w:jc w:val="right"/>
            </w:pPr>
            <w:r>
              <w:rPr>
                <w:b/>
                <w:sz w:val="18"/>
              </w:rPr>
              <w:t>194.627,89</w:t>
            </w:r>
          </w:p>
        </w:tc>
        <w:tc>
          <w:tcPr>
            <w:tcW w:w="700" w:type="dxa"/>
            <w:tcMar>
              <w:top w:w="0" w:type="dxa"/>
              <w:bottom w:w="0" w:type="dxa"/>
            </w:tcMar>
            <w:vAlign w:val="center"/>
          </w:tcPr>
          <w:p w:rsidR="0079377C" w:rsidRDefault="00D64D14">
            <w:pPr>
              <w:keepNext/>
              <w:keepLines/>
              <w:spacing w:after="0" w:line="240" w:lineRule="auto"/>
              <w:jc w:val="right"/>
            </w:pPr>
            <w:r>
              <w:rPr>
                <w:b/>
                <w:sz w:val="18"/>
              </w:rPr>
              <w:t>-</w:t>
            </w:r>
          </w:p>
        </w:tc>
      </w:tr>
    </w:tbl>
    <w:p w:rsidR="0079377C" w:rsidRDefault="0079377C">
      <w:pPr>
        <w:spacing w:after="0"/>
      </w:pPr>
    </w:p>
    <w:p w:rsidR="0079377C" w:rsidRDefault="00D64D14">
      <w:r>
        <w:t>U razdoblju od 01.siječnja do 31.prosinca 2025.godine ostvareni su prihodi poslovanja u iznosu od 1.637.526,63 eur što je 23,3% više u odnosu na isto razdoblje prethodne godine. Povećani su prihodi pomoći od međunarodnih institucija i tijela EU, dok su pri</w:t>
      </w:r>
      <w:r>
        <w:t xml:space="preserve">hodi iz nadležnog proračuna neznatno smanjeni. Rashodi poslovanja u izvještajnom razdoblju iznosili </w:t>
      </w:r>
      <w:r>
        <w:lastRenderedPageBreak/>
        <w:t>su 1.791.572,34 eur zbog povećanja rashoda po projektima EU, pa je ostvaren manjak prihoda poslovanja u iznosu od 154.045,71 eur. Nema ostvarenih prihoda od</w:t>
      </w:r>
      <w:r>
        <w:t xml:space="preserve"> prodaje nefinancijske imovina, a rashodi za nabavu nefinancijske imovine iznose 40.582,18 eur. Isto tako nisu ostvareni primici ni izdaci od financijske imovine i zaduživanja.</w:t>
      </w:r>
    </w:p>
    <w:p w:rsidR="0079377C" w:rsidRDefault="00D64D14">
      <w:r>
        <w:t>Ukupni manjak prihoda i primitaka iznosi 194.627,89 eur. Iz prethodnog razdoblj</w:t>
      </w:r>
      <w:r>
        <w:t>a prenesen je višak prihoda poslovanja u iznosu od 283.379,55 eur, pa je za naredno razdoblje raspoloživ višak u iznosu od 88.751,66 eur,koji će se rasporediti sukladno odluci</w:t>
      </w:r>
    </w:p>
    <w:p w:rsidR="0079377C" w:rsidRDefault="00D64D14">
      <w:r>
        <w:br/>
      </w:r>
    </w:p>
    <w:p w:rsidR="0079377C" w:rsidRDefault="00D64D14">
      <w:pPr>
        <w:keepNext/>
        <w:spacing w:line="240" w:lineRule="auto"/>
        <w:jc w:val="center"/>
      </w:pPr>
      <w:r>
        <w:rPr>
          <w:sz w:val="28"/>
        </w:rPr>
        <w:t>Bilješka 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6</w:t>
            </w:r>
          </w:p>
        </w:tc>
        <w:tc>
          <w:tcPr>
            <w:tcW w:w="3180" w:type="dxa"/>
            <w:tcMar>
              <w:top w:w="0" w:type="dxa"/>
              <w:bottom w:w="0" w:type="dxa"/>
            </w:tcMar>
            <w:vAlign w:val="center"/>
          </w:tcPr>
          <w:p w:rsidR="0079377C" w:rsidRDefault="00D64D14">
            <w:pPr>
              <w:keepNext/>
              <w:keepLines/>
              <w:spacing w:after="0" w:line="240" w:lineRule="auto"/>
            </w:pPr>
            <w:r>
              <w:rPr>
                <w:sz w:val="18"/>
              </w:rPr>
              <w:t>PRIHODI POSLOVANJA (šifre 61+62+63+64+65+66+67+68)</w:t>
            </w:r>
          </w:p>
        </w:tc>
        <w:tc>
          <w:tcPr>
            <w:tcW w:w="700" w:type="dxa"/>
            <w:tcMar>
              <w:top w:w="0" w:type="dxa"/>
              <w:bottom w:w="0" w:type="dxa"/>
            </w:tcMar>
            <w:vAlign w:val="center"/>
          </w:tcPr>
          <w:p w:rsidR="0079377C" w:rsidRDefault="00D64D14">
            <w:pPr>
              <w:keepNext/>
              <w:keepLines/>
              <w:spacing w:after="0" w:line="240" w:lineRule="auto"/>
            </w:pPr>
            <w:r>
              <w:rPr>
                <w:sz w:val="18"/>
              </w:rPr>
              <w:t>6</w:t>
            </w:r>
          </w:p>
        </w:tc>
        <w:tc>
          <w:tcPr>
            <w:tcW w:w="1860" w:type="dxa"/>
            <w:tcMar>
              <w:top w:w="0" w:type="dxa"/>
              <w:bottom w:w="0" w:type="dxa"/>
            </w:tcMar>
            <w:vAlign w:val="center"/>
          </w:tcPr>
          <w:p w:rsidR="0079377C" w:rsidRDefault="00D64D14">
            <w:pPr>
              <w:keepNext/>
              <w:keepLines/>
              <w:spacing w:after="0" w:line="240" w:lineRule="auto"/>
              <w:jc w:val="right"/>
            </w:pPr>
            <w:r>
              <w:rPr>
                <w:sz w:val="18"/>
              </w:rPr>
              <w:t>1.327.872,17</w:t>
            </w:r>
          </w:p>
        </w:tc>
        <w:tc>
          <w:tcPr>
            <w:tcW w:w="1860" w:type="dxa"/>
            <w:tcMar>
              <w:top w:w="0" w:type="dxa"/>
              <w:bottom w:w="0" w:type="dxa"/>
            </w:tcMar>
            <w:vAlign w:val="center"/>
          </w:tcPr>
          <w:p w:rsidR="0079377C" w:rsidRDefault="00D64D14">
            <w:pPr>
              <w:keepNext/>
              <w:keepLines/>
              <w:spacing w:after="0" w:line="240" w:lineRule="auto"/>
              <w:jc w:val="right"/>
            </w:pPr>
            <w:r>
              <w:rPr>
                <w:sz w:val="18"/>
              </w:rPr>
              <w:t>1.637.526,63</w:t>
            </w:r>
          </w:p>
        </w:tc>
        <w:tc>
          <w:tcPr>
            <w:tcW w:w="700" w:type="dxa"/>
            <w:tcMar>
              <w:top w:w="0" w:type="dxa"/>
              <w:bottom w:w="0" w:type="dxa"/>
            </w:tcMar>
            <w:vAlign w:val="center"/>
          </w:tcPr>
          <w:p w:rsidR="0079377C" w:rsidRDefault="00D64D14">
            <w:pPr>
              <w:keepNext/>
              <w:keepLines/>
              <w:spacing w:after="0" w:line="240" w:lineRule="auto"/>
              <w:jc w:val="right"/>
            </w:pPr>
            <w:r>
              <w:rPr>
                <w:sz w:val="18"/>
              </w:rPr>
              <w:t>123,3</w:t>
            </w:r>
          </w:p>
        </w:tc>
      </w:tr>
    </w:tbl>
    <w:p w:rsidR="0079377C" w:rsidRDefault="0079377C">
      <w:pPr>
        <w:spacing w:after="0"/>
      </w:pPr>
    </w:p>
    <w:p w:rsidR="0079377C" w:rsidRDefault="00D64D14">
      <w:r>
        <w:t>Prihodi poslovanja iznose 1.637.526,63 eur i veći su u odnosu na isto razdoblje prethodne godine za 23,3%.  Ovo povećanje rezutat je provedbe više projekata  EU u odnosu na prethodnu godinu.</w:t>
      </w:r>
    </w:p>
    <w:p w:rsidR="0079377C" w:rsidRDefault="0079377C"/>
    <w:p w:rsidR="0079377C" w:rsidRDefault="00D64D14">
      <w:pPr>
        <w:keepNext/>
        <w:spacing w:line="240" w:lineRule="auto"/>
        <w:jc w:val="center"/>
      </w:pPr>
      <w:r>
        <w:rPr>
          <w:sz w:val="28"/>
        </w:rPr>
        <w:t>Bilješka 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632</w:t>
            </w:r>
          </w:p>
        </w:tc>
        <w:tc>
          <w:tcPr>
            <w:tcW w:w="3180" w:type="dxa"/>
            <w:tcMar>
              <w:top w:w="0" w:type="dxa"/>
              <w:bottom w:w="0" w:type="dxa"/>
            </w:tcMar>
            <w:vAlign w:val="center"/>
          </w:tcPr>
          <w:p w:rsidR="0079377C" w:rsidRDefault="00D64D14">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79377C" w:rsidRDefault="00D64D14">
            <w:pPr>
              <w:keepNext/>
              <w:keepLines/>
              <w:spacing w:after="0" w:line="240" w:lineRule="auto"/>
            </w:pPr>
            <w:r>
              <w:rPr>
                <w:sz w:val="18"/>
              </w:rPr>
              <w:t>632</w:t>
            </w:r>
          </w:p>
        </w:tc>
        <w:tc>
          <w:tcPr>
            <w:tcW w:w="1860" w:type="dxa"/>
            <w:tcMar>
              <w:top w:w="0" w:type="dxa"/>
              <w:bottom w:w="0" w:type="dxa"/>
            </w:tcMar>
            <w:vAlign w:val="center"/>
          </w:tcPr>
          <w:p w:rsidR="0079377C" w:rsidRDefault="00D64D14">
            <w:pPr>
              <w:keepNext/>
              <w:keepLines/>
              <w:spacing w:after="0" w:line="240" w:lineRule="auto"/>
              <w:jc w:val="right"/>
            </w:pPr>
            <w:r>
              <w:rPr>
                <w:sz w:val="18"/>
              </w:rPr>
              <w:t>192.992,00</w:t>
            </w:r>
          </w:p>
        </w:tc>
        <w:tc>
          <w:tcPr>
            <w:tcW w:w="1860" w:type="dxa"/>
            <w:tcMar>
              <w:top w:w="0" w:type="dxa"/>
              <w:bottom w:w="0" w:type="dxa"/>
            </w:tcMar>
            <w:vAlign w:val="center"/>
          </w:tcPr>
          <w:p w:rsidR="0079377C" w:rsidRDefault="00D64D14">
            <w:pPr>
              <w:keepNext/>
              <w:keepLines/>
              <w:spacing w:after="0" w:line="240" w:lineRule="auto"/>
              <w:jc w:val="right"/>
            </w:pPr>
            <w:r>
              <w:rPr>
                <w:sz w:val="18"/>
              </w:rPr>
              <w:t>694.980,75</w:t>
            </w:r>
          </w:p>
        </w:tc>
        <w:tc>
          <w:tcPr>
            <w:tcW w:w="700" w:type="dxa"/>
            <w:tcMar>
              <w:top w:w="0" w:type="dxa"/>
              <w:bottom w:w="0" w:type="dxa"/>
            </w:tcMar>
            <w:vAlign w:val="center"/>
          </w:tcPr>
          <w:p w:rsidR="0079377C" w:rsidRDefault="00D64D14">
            <w:pPr>
              <w:keepNext/>
              <w:keepLines/>
              <w:spacing w:after="0" w:line="240" w:lineRule="auto"/>
              <w:jc w:val="right"/>
            </w:pPr>
            <w:r>
              <w:rPr>
                <w:sz w:val="18"/>
              </w:rPr>
              <w:t>360,1</w:t>
            </w:r>
          </w:p>
        </w:tc>
      </w:tr>
    </w:tbl>
    <w:p w:rsidR="0079377C" w:rsidRDefault="0079377C">
      <w:pPr>
        <w:spacing w:after="0"/>
      </w:pPr>
    </w:p>
    <w:p w:rsidR="0079377C" w:rsidRDefault="00D64D14">
      <w:r>
        <w:t>Prihodi od pomoći međunarodnih organizacija i tijela EU veći su čak za 260,1%. Za sve projekte koji se provode sredstva se isplaćuju metodom nadoknade. Budući da je u 2024. počela provedba 11 novih projekata ove godine izvršene su isplate po predanim ZNS-o</w:t>
      </w:r>
      <w:r>
        <w:t>vima iz prethodne i ove godine.</w:t>
      </w:r>
    </w:p>
    <w:p w:rsidR="0079377C" w:rsidRDefault="0079377C"/>
    <w:p w:rsidR="0079377C" w:rsidRDefault="00D64D14">
      <w:pPr>
        <w:keepNext/>
        <w:spacing w:line="240" w:lineRule="auto"/>
        <w:jc w:val="center"/>
      </w:pPr>
      <w:r>
        <w:rPr>
          <w:sz w:val="28"/>
        </w:rPr>
        <w:t>Bilješka 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638</w:t>
            </w:r>
          </w:p>
        </w:tc>
        <w:tc>
          <w:tcPr>
            <w:tcW w:w="3180" w:type="dxa"/>
            <w:tcMar>
              <w:top w:w="0" w:type="dxa"/>
              <w:bottom w:w="0" w:type="dxa"/>
            </w:tcMar>
            <w:vAlign w:val="center"/>
          </w:tcPr>
          <w:p w:rsidR="0079377C" w:rsidRDefault="00D64D14">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79377C" w:rsidRDefault="00D64D14">
            <w:pPr>
              <w:keepNext/>
              <w:keepLines/>
              <w:spacing w:after="0" w:line="240" w:lineRule="auto"/>
            </w:pPr>
            <w:r>
              <w:rPr>
                <w:sz w:val="18"/>
              </w:rPr>
              <w:t>638</w:t>
            </w:r>
          </w:p>
        </w:tc>
        <w:tc>
          <w:tcPr>
            <w:tcW w:w="1860" w:type="dxa"/>
            <w:tcMar>
              <w:top w:w="0" w:type="dxa"/>
              <w:bottom w:w="0" w:type="dxa"/>
            </w:tcMar>
            <w:vAlign w:val="center"/>
          </w:tcPr>
          <w:p w:rsidR="0079377C" w:rsidRDefault="00D64D14">
            <w:pPr>
              <w:keepNext/>
              <w:keepLines/>
              <w:spacing w:after="0" w:line="240" w:lineRule="auto"/>
              <w:jc w:val="right"/>
            </w:pPr>
            <w:r>
              <w:rPr>
                <w:sz w:val="18"/>
              </w:rPr>
              <w:t>567.582,99</w:t>
            </w:r>
          </w:p>
        </w:tc>
        <w:tc>
          <w:tcPr>
            <w:tcW w:w="1860" w:type="dxa"/>
            <w:tcMar>
              <w:top w:w="0" w:type="dxa"/>
              <w:bottom w:w="0" w:type="dxa"/>
            </w:tcMar>
            <w:vAlign w:val="center"/>
          </w:tcPr>
          <w:p w:rsidR="0079377C" w:rsidRDefault="00D64D14">
            <w:pPr>
              <w:keepNext/>
              <w:keepLines/>
              <w:spacing w:after="0" w:line="240" w:lineRule="auto"/>
              <w:jc w:val="right"/>
            </w:pPr>
            <w:r>
              <w:rPr>
                <w:sz w:val="18"/>
              </w:rPr>
              <w:t>421.376,94</w:t>
            </w:r>
          </w:p>
        </w:tc>
        <w:tc>
          <w:tcPr>
            <w:tcW w:w="700" w:type="dxa"/>
            <w:tcMar>
              <w:top w:w="0" w:type="dxa"/>
              <w:bottom w:w="0" w:type="dxa"/>
            </w:tcMar>
            <w:vAlign w:val="center"/>
          </w:tcPr>
          <w:p w:rsidR="0079377C" w:rsidRDefault="00D64D14">
            <w:pPr>
              <w:keepNext/>
              <w:keepLines/>
              <w:spacing w:after="0" w:line="240" w:lineRule="auto"/>
              <w:jc w:val="right"/>
            </w:pPr>
            <w:r>
              <w:rPr>
                <w:sz w:val="18"/>
              </w:rPr>
              <w:t>74,2</w:t>
            </w:r>
          </w:p>
        </w:tc>
      </w:tr>
    </w:tbl>
    <w:p w:rsidR="0079377C" w:rsidRDefault="0079377C">
      <w:pPr>
        <w:spacing w:after="0"/>
      </w:pPr>
    </w:p>
    <w:p w:rsidR="0079377C" w:rsidRDefault="00D64D14">
      <w:r>
        <w:lastRenderedPageBreak/>
        <w:t>Tekuće pomoći iz državnog proračuna i proračuna JLP(R)S manje su u odnosu na prethodnu godinu za 25,8%. Ovdje su knjiženi prihodi iz Državnog proračuna za sredstva tehničke pomoći. Ovi prihodi na nivou su prethodne godine.</w:t>
      </w:r>
    </w:p>
    <w:p w:rsidR="0079377C" w:rsidRDefault="00D64D14">
      <w:r>
        <w:t>Osim nevedenih prihoda ovdje su knjiženi i prihodi po projektima Sharing, Iteo 2, DeCo , Centar za kulturu Nedelišće i Mystical Danube čiji su nositelji Ministarstva i jedinice lokalne samouprave, Javna ustanova Redea je partner na projektu.</w:t>
      </w:r>
    </w:p>
    <w:p w:rsidR="0079377C" w:rsidRDefault="00D64D14">
      <w:r>
        <w:t> </w:t>
      </w:r>
    </w:p>
    <w:p w:rsidR="0079377C" w:rsidRDefault="0079377C"/>
    <w:p w:rsidR="0079377C" w:rsidRDefault="00D64D14">
      <w:pPr>
        <w:keepNext/>
        <w:spacing w:line="240" w:lineRule="auto"/>
        <w:jc w:val="center"/>
      </w:pPr>
      <w:r>
        <w:rPr>
          <w:sz w:val="28"/>
        </w:rPr>
        <w:t>Bilješka 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6711</w:t>
            </w:r>
          </w:p>
        </w:tc>
        <w:tc>
          <w:tcPr>
            <w:tcW w:w="3180" w:type="dxa"/>
            <w:tcMar>
              <w:top w:w="0" w:type="dxa"/>
              <w:bottom w:w="0" w:type="dxa"/>
            </w:tcMar>
            <w:vAlign w:val="center"/>
          </w:tcPr>
          <w:p w:rsidR="0079377C" w:rsidRDefault="00D64D14">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79377C" w:rsidRDefault="00D64D14">
            <w:pPr>
              <w:keepNext/>
              <w:keepLines/>
              <w:spacing w:after="0" w:line="240" w:lineRule="auto"/>
            </w:pPr>
            <w:r>
              <w:rPr>
                <w:sz w:val="18"/>
              </w:rPr>
              <w:t>6711</w:t>
            </w:r>
          </w:p>
        </w:tc>
        <w:tc>
          <w:tcPr>
            <w:tcW w:w="1860" w:type="dxa"/>
            <w:tcMar>
              <w:top w:w="0" w:type="dxa"/>
              <w:bottom w:w="0" w:type="dxa"/>
            </w:tcMar>
            <w:vAlign w:val="center"/>
          </w:tcPr>
          <w:p w:rsidR="0079377C" w:rsidRDefault="00D64D14">
            <w:pPr>
              <w:keepNext/>
              <w:keepLines/>
              <w:spacing w:after="0" w:line="240" w:lineRule="auto"/>
              <w:jc w:val="right"/>
            </w:pPr>
            <w:r>
              <w:rPr>
                <w:sz w:val="18"/>
              </w:rPr>
              <w:t>530.891,00</w:t>
            </w:r>
          </w:p>
        </w:tc>
        <w:tc>
          <w:tcPr>
            <w:tcW w:w="1860" w:type="dxa"/>
            <w:tcMar>
              <w:top w:w="0" w:type="dxa"/>
              <w:bottom w:w="0" w:type="dxa"/>
            </w:tcMar>
            <w:vAlign w:val="center"/>
          </w:tcPr>
          <w:p w:rsidR="0079377C" w:rsidRDefault="00D64D14">
            <w:pPr>
              <w:keepNext/>
              <w:keepLines/>
              <w:spacing w:after="0" w:line="240" w:lineRule="auto"/>
              <w:jc w:val="right"/>
            </w:pPr>
            <w:r>
              <w:rPr>
                <w:sz w:val="18"/>
              </w:rPr>
              <w:t>517.920,89</w:t>
            </w:r>
          </w:p>
        </w:tc>
        <w:tc>
          <w:tcPr>
            <w:tcW w:w="700" w:type="dxa"/>
            <w:tcMar>
              <w:top w:w="0" w:type="dxa"/>
              <w:bottom w:w="0" w:type="dxa"/>
            </w:tcMar>
            <w:vAlign w:val="center"/>
          </w:tcPr>
          <w:p w:rsidR="0079377C" w:rsidRDefault="00D64D14">
            <w:pPr>
              <w:keepNext/>
              <w:keepLines/>
              <w:spacing w:after="0" w:line="240" w:lineRule="auto"/>
              <w:jc w:val="right"/>
            </w:pPr>
            <w:r>
              <w:rPr>
                <w:sz w:val="18"/>
              </w:rPr>
              <w:t>97,6</w:t>
            </w:r>
          </w:p>
        </w:tc>
      </w:tr>
    </w:tbl>
    <w:p w:rsidR="0079377C" w:rsidRDefault="0079377C">
      <w:pPr>
        <w:spacing w:after="0"/>
      </w:pPr>
    </w:p>
    <w:p w:rsidR="0079377C" w:rsidRDefault="00D64D14">
      <w:r>
        <w:t>Prihodi iz nadležnog proračuna za financiranje rashoda poslovanja  manji su u odnosu na prethodnu godinu za 2,4%. Nema razlike u ostvarenju u odnosu na Financijski plan.</w:t>
      </w:r>
    </w:p>
    <w:p w:rsidR="0079377C" w:rsidRDefault="0079377C"/>
    <w:p w:rsidR="0079377C" w:rsidRDefault="00D64D14">
      <w:pPr>
        <w:keepNext/>
        <w:spacing w:line="240" w:lineRule="auto"/>
        <w:jc w:val="center"/>
      </w:pPr>
      <w:r>
        <w:rPr>
          <w:sz w:val="28"/>
        </w:rPr>
        <w:t>Bilješka 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68</w:t>
            </w:r>
          </w:p>
        </w:tc>
        <w:tc>
          <w:tcPr>
            <w:tcW w:w="3180" w:type="dxa"/>
            <w:tcMar>
              <w:top w:w="0" w:type="dxa"/>
              <w:bottom w:w="0" w:type="dxa"/>
            </w:tcMar>
            <w:vAlign w:val="center"/>
          </w:tcPr>
          <w:p w:rsidR="0079377C" w:rsidRDefault="00D64D14">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79377C" w:rsidRDefault="00D64D14">
            <w:pPr>
              <w:keepNext/>
              <w:keepLines/>
              <w:spacing w:after="0" w:line="240" w:lineRule="auto"/>
            </w:pPr>
            <w:r>
              <w:rPr>
                <w:sz w:val="18"/>
              </w:rPr>
              <w:t>68</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1.990,45</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Ova stavku čine prihodi od refundacije naknada putovanja i prihodi od naknade štete zbog otkaza uplaćenog avionskog leta.</w:t>
      </w:r>
    </w:p>
    <w:p w:rsidR="0079377C" w:rsidRDefault="0079377C"/>
    <w:p w:rsidR="0079377C" w:rsidRDefault="00D64D14">
      <w:pPr>
        <w:keepNext/>
        <w:spacing w:line="240" w:lineRule="auto"/>
        <w:jc w:val="center"/>
      </w:pPr>
      <w:r>
        <w:rPr>
          <w:sz w:val="28"/>
        </w:rPr>
        <w:t>Bilješka 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w:t>
            </w:r>
            <w:r>
              <w:rPr>
                <w:b/>
                <w:sz w:val="18"/>
              </w:rPr>
              <w:t>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3111</w:t>
            </w:r>
          </w:p>
        </w:tc>
        <w:tc>
          <w:tcPr>
            <w:tcW w:w="3180" w:type="dxa"/>
            <w:tcMar>
              <w:top w:w="0" w:type="dxa"/>
              <w:bottom w:w="0" w:type="dxa"/>
            </w:tcMar>
            <w:vAlign w:val="center"/>
          </w:tcPr>
          <w:p w:rsidR="0079377C" w:rsidRDefault="00D64D14">
            <w:pPr>
              <w:keepNext/>
              <w:keepLines/>
              <w:spacing w:after="0" w:line="240" w:lineRule="auto"/>
            </w:pPr>
            <w:r>
              <w:rPr>
                <w:sz w:val="18"/>
              </w:rPr>
              <w:t>Plaće za redovan rad</w:t>
            </w:r>
          </w:p>
        </w:tc>
        <w:tc>
          <w:tcPr>
            <w:tcW w:w="700" w:type="dxa"/>
            <w:tcMar>
              <w:top w:w="0" w:type="dxa"/>
              <w:bottom w:w="0" w:type="dxa"/>
            </w:tcMar>
            <w:vAlign w:val="center"/>
          </w:tcPr>
          <w:p w:rsidR="0079377C" w:rsidRDefault="00D64D14">
            <w:pPr>
              <w:keepNext/>
              <w:keepLines/>
              <w:spacing w:after="0" w:line="240" w:lineRule="auto"/>
            </w:pPr>
            <w:r>
              <w:rPr>
                <w:sz w:val="18"/>
              </w:rPr>
              <w:t>3111</w:t>
            </w:r>
          </w:p>
        </w:tc>
        <w:tc>
          <w:tcPr>
            <w:tcW w:w="1860" w:type="dxa"/>
            <w:tcMar>
              <w:top w:w="0" w:type="dxa"/>
              <w:bottom w:w="0" w:type="dxa"/>
            </w:tcMar>
            <w:vAlign w:val="center"/>
          </w:tcPr>
          <w:p w:rsidR="0079377C" w:rsidRDefault="00D64D14">
            <w:pPr>
              <w:keepNext/>
              <w:keepLines/>
              <w:spacing w:after="0" w:line="240" w:lineRule="auto"/>
              <w:jc w:val="right"/>
            </w:pPr>
            <w:r>
              <w:rPr>
                <w:sz w:val="18"/>
              </w:rPr>
              <w:t>576.414,93</w:t>
            </w:r>
          </w:p>
        </w:tc>
        <w:tc>
          <w:tcPr>
            <w:tcW w:w="1860" w:type="dxa"/>
            <w:tcMar>
              <w:top w:w="0" w:type="dxa"/>
              <w:bottom w:w="0" w:type="dxa"/>
            </w:tcMar>
            <w:vAlign w:val="center"/>
          </w:tcPr>
          <w:p w:rsidR="0079377C" w:rsidRDefault="00D64D14">
            <w:pPr>
              <w:keepNext/>
              <w:keepLines/>
              <w:spacing w:after="0" w:line="240" w:lineRule="auto"/>
              <w:jc w:val="right"/>
            </w:pPr>
            <w:r>
              <w:rPr>
                <w:sz w:val="18"/>
              </w:rPr>
              <w:t>775.569,25</w:t>
            </w:r>
          </w:p>
        </w:tc>
        <w:tc>
          <w:tcPr>
            <w:tcW w:w="700" w:type="dxa"/>
            <w:tcMar>
              <w:top w:w="0" w:type="dxa"/>
              <w:bottom w:w="0" w:type="dxa"/>
            </w:tcMar>
            <w:vAlign w:val="center"/>
          </w:tcPr>
          <w:p w:rsidR="0079377C" w:rsidRDefault="00D64D14">
            <w:pPr>
              <w:keepNext/>
              <w:keepLines/>
              <w:spacing w:after="0" w:line="240" w:lineRule="auto"/>
              <w:jc w:val="right"/>
            </w:pPr>
            <w:r>
              <w:rPr>
                <w:sz w:val="18"/>
              </w:rPr>
              <w:t>134,6</w:t>
            </w:r>
          </w:p>
        </w:tc>
      </w:tr>
    </w:tbl>
    <w:p w:rsidR="0079377C" w:rsidRDefault="0079377C">
      <w:pPr>
        <w:spacing w:after="0"/>
      </w:pPr>
    </w:p>
    <w:p w:rsidR="0079377C" w:rsidRDefault="00D64D14">
      <w:r>
        <w:t>Plaće su u izvještajnom razdoblju veće za 34,6%. Posljedica je to povećanja osnovice za obračun plaća i broja zaposlenih. Ove godine, zbog promjena zakonskih propisa, knjiženo je trinaset plaća umjesto dvanaest, pa je i to utjecalo na povećanje ovih rashod</w:t>
      </w:r>
      <w:r>
        <w:t>a.</w:t>
      </w:r>
    </w:p>
    <w:p w:rsidR="0079377C" w:rsidRDefault="0079377C"/>
    <w:p w:rsidR="0079377C" w:rsidRDefault="00D64D14">
      <w:pPr>
        <w:keepNext/>
        <w:spacing w:line="240" w:lineRule="auto"/>
        <w:jc w:val="center"/>
      </w:pPr>
      <w:r>
        <w:rPr>
          <w:sz w:val="28"/>
        </w:rPr>
        <w:lastRenderedPageBreak/>
        <w:t>Bilješka 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3132</w:t>
            </w:r>
          </w:p>
        </w:tc>
        <w:tc>
          <w:tcPr>
            <w:tcW w:w="3180" w:type="dxa"/>
            <w:tcMar>
              <w:top w:w="0" w:type="dxa"/>
              <w:bottom w:w="0" w:type="dxa"/>
            </w:tcMar>
            <w:vAlign w:val="center"/>
          </w:tcPr>
          <w:p w:rsidR="0079377C" w:rsidRDefault="00D64D14">
            <w:pPr>
              <w:keepNext/>
              <w:keepLines/>
              <w:spacing w:after="0" w:line="240" w:lineRule="auto"/>
            </w:pPr>
            <w:r>
              <w:rPr>
                <w:sz w:val="18"/>
              </w:rPr>
              <w:t>Doprinosi za obvezno zdravstveno osiguranje</w:t>
            </w:r>
          </w:p>
        </w:tc>
        <w:tc>
          <w:tcPr>
            <w:tcW w:w="700" w:type="dxa"/>
            <w:tcMar>
              <w:top w:w="0" w:type="dxa"/>
              <w:bottom w:w="0" w:type="dxa"/>
            </w:tcMar>
            <w:vAlign w:val="center"/>
          </w:tcPr>
          <w:p w:rsidR="0079377C" w:rsidRDefault="00D64D14">
            <w:pPr>
              <w:keepNext/>
              <w:keepLines/>
              <w:spacing w:after="0" w:line="240" w:lineRule="auto"/>
            </w:pPr>
            <w:r>
              <w:rPr>
                <w:sz w:val="18"/>
              </w:rPr>
              <w:t>3132</w:t>
            </w:r>
          </w:p>
        </w:tc>
        <w:tc>
          <w:tcPr>
            <w:tcW w:w="1860" w:type="dxa"/>
            <w:tcMar>
              <w:top w:w="0" w:type="dxa"/>
              <w:bottom w:w="0" w:type="dxa"/>
            </w:tcMar>
            <w:vAlign w:val="center"/>
          </w:tcPr>
          <w:p w:rsidR="0079377C" w:rsidRDefault="00D64D14">
            <w:pPr>
              <w:keepNext/>
              <w:keepLines/>
              <w:spacing w:after="0" w:line="240" w:lineRule="auto"/>
              <w:jc w:val="right"/>
            </w:pPr>
            <w:r>
              <w:rPr>
                <w:sz w:val="18"/>
              </w:rPr>
              <w:t>90.304,33</w:t>
            </w:r>
          </w:p>
        </w:tc>
        <w:tc>
          <w:tcPr>
            <w:tcW w:w="1860" w:type="dxa"/>
            <w:tcMar>
              <w:top w:w="0" w:type="dxa"/>
              <w:bottom w:w="0" w:type="dxa"/>
            </w:tcMar>
            <w:vAlign w:val="center"/>
          </w:tcPr>
          <w:p w:rsidR="0079377C" w:rsidRDefault="00D64D14">
            <w:pPr>
              <w:keepNext/>
              <w:keepLines/>
              <w:spacing w:after="0" w:line="240" w:lineRule="auto"/>
              <w:jc w:val="right"/>
            </w:pPr>
            <w:r>
              <w:rPr>
                <w:sz w:val="18"/>
              </w:rPr>
              <w:t>123.713,30</w:t>
            </w:r>
          </w:p>
        </w:tc>
        <w:tc>
          <w:tcPr>
            <w:tcW w:w="700" w:type="dxa"/>
            <w:tcMar>
              <w:top w:w="0" w:type="dxa"/>
              <w:bottom w:w="0" w:type="dxa"/>
            </w:tcMar>
            <w:vAlign w:val="center"/>
          </w:tcPr>
          <w:p w:rsidR="0079377C" w:rsidRDefault="00D64D14">
            <w:pPr>
              <w:keepNext/>
              <w:keepLines/>
              <w:spacing w:after="0" w:line="240" w:lineRule="auto"/>
              <w:jc w:val="right"/>
            </w:pPr>
            <w:r>
              <w:rPr>
                <w:sz w:val="18"/>
              </w:rPr>
              <w:t>137,0</w:t>
            </w:r>
          </w:p>
        </w:tc>
      </w:tr>
    </w:tbl>
    <w:p w:rsidR="0079377C" w:rsidRDefault="0079377C">
      <w:pPr>
        <w:spacing w:after="0"/>
      </w:pPr>
    </w:p>
    <w:p w:rsidR="0079377C" w:rsidRDefault="00D64D14">
      <w:r>
        <w:t>Doprinosi na plaće povećani su iz istog razloga kao i bruto plaće, jer su ovi troškovi uzajamno povezani.</w:t>
      </w:r>
    </w:p>
    <w:p w:rsidR="0079377C" w:rsidRDefault="0079377C"/>
    <w:p w:rsidR="0079377C" w:rsidRDefault="00D64D14">
      <w:pPr>
        <w:keepNext/>
        <w:spacing w:line="240" w:lineRule="auto"/>
        <w:jc w:val="center"/>
      </w:pPr>
      <w:r>
        <w:rPr>
          <w:sz w:val="28"/>
        </w:rPr>
        <w:t>Bilješka 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321</w:t>
            </w:r>
          </w:p>
        </w:tc>
        <w:tc>
          <w:tcPr>
            <w:tcW w:w="3180" w:type="dxa"/>
            <w:tcMar>
              <w:top w:w="0" w:type="dxa"/>
              <w:bottom w:w="0" w:type="dxa"/>
            </w:tcMar>
            <w:vAlign w:val="center"/>
          </w:tcPr>
          <w:p w:rsidR="0079377C" w:rsidRDefault="00D64D14">
            <w:pPr>
              <w:keepNext/>
              <w:keepLines/>
              <w:spacing w:after="0" w:line="240" w:lineRule="auto"/>
            </w:pPr>
            <w:r>
              <w:rPr>
                <w:sz w:val="18"/>
              </w:rPr>
              <w:t>Naknade troškova zaposlenima (šifre 3211 do 3214)</w:t>
            </w:r>
          </w:p>
        </w:tc>
        <w:tc>
          <w:tcPr>
            <w:tcW w:w="700" w:type="dxa"/>
            <w:tcMar>
              <w:top w:w="0" w:type="dxa"/>
              <w:bottom w:w="0" w:type="dxa"/>
            </w:tcMar>
            <w:vAlign w:val="center"/>
          </w:tcPr>
          <w:p w:rsidR="0079377C" w:rsidRDefault="00D64D14">
            <w:pPr>
              <w:keepNext/>
              <w:keepLines/>
              <w:spacing w:after="0" w:line="240" w:lineRule="auto"/>
            </w:pPr>
            <w:r>
              <w:rPr>
                <w:sz w:val="18"/>
              </w:rPr>
              <w:t>321</w:t>
            </w:r>
          </w:p>
        </w:tc>
        <w:tc>
          <w:tcPr>
            <w:tcW w:w="1860" w:type="dxa"/>
            <w:tcMar>
              <w:top w:w="0" w:type="dxa"/>
              <w:bottom w:w="0" w:type="dxa"/>
            </w:tcMar>
            <w:vAlign w:val="center"/>
          </w:tcPr>
          <w:p w:rsidR="0079377C" w:rsidRDefault="00D64D14">
            <w:pPr>
              <w:keepNext/>
              <w:keepLines/>
              <w:spacing w:after="0" w:line="240" w:lineRule="auto"/>
              <w:jc w:val="right"/>
            </w:pPr>
            <w:r>
              <w:rPr>
                <w:sz w:val="18"/>
              </w:rPr>
              <w:t>73.812,17</w:t>
            </w:r>
          </w:p>
        </w:tc>
        <w:tc>
          <w:tcPr>
            <w:tcW w:w="1860" w:type="dxa"/>
            <w:tcMar>
              <w:top w:w="0" w:type="dxa"/>
              <w:bottom w:w="0" w:type="dxa"/>
            </w:tcMar>
            <w:vAlign w:val="center"/>
          </w:tcPr>
          <w:p w:rsidR="0079377C" w:rsidRDefault="00D64D14">
            <w:pPr>
              <w:keepNext/>
              <w:keepLines/>
              <w:spacing w:after="0" w:line="240" w:lineRule="auto"/>
              <w:jc w:val="right"/>
            </w:pPr>
            <w:r>
              <w:rPr>
                <w:sz w:val="18"/>
              </w:rPr>
              <w:t>96.180,22</w:t>
            </w:r>
          </w:p>
        </w:tc>
        <w:tc>
          <w:tcPr>
            <w:tcW w:w="700" w:type="dxa"/>
            <w:tcMar>
              <w:top w:w="0" w:type="dxa"/>
              <w:bottom w:w="0" w:type="dxa"/>
            </w:tcMar>
            <w:vAlign w:val="center"/>
          </w:tcPr>
          <w:p w:rsidR="0079377C" w:rsidRDefault="00D64D14">
            <w:pPr>
              <w:keepNext/>
              <w:keepLines/>
              <w:spacing w:after="0" w:line="240" w:lineRule="auto"/>
              <w:jc w:val="right"/>
            </w:pPr>
            <w:r>
              <w:rPr>
                <w:sz w:val="18"/>
              </w:rPr>
              <w:t>130,3</w:t>
            </w:r>
          </w:p>
        </w:tc>
      </w:tr>
    </w:tbl>
    <w:p w:rsidR="0079377C" w:rsidRDefault="0079377C">
      <w:pPr>
        <w:spacing w:after="0"/>
      </w:pPr>
    </w:p>
    <w:p w:rsidR="0079377C" w:rsidRDefault="00D64D14">
      <w:r>
        <w:t>Naknade troškova zaposlenima veće su za 30,3% u odnosu na prethodnu godinu. Najveće povećanje u okviru ovih rashoda  bilježe troškovi službenih putovanja i stručnog usavršavanja zaposlenih. Troškovi službenih putovanja veći su za 39%, a odnose se na službe</w:t>
      </w:r>
      <w:r>
        <w:t>na putovanja vezana uz projekte EU . Zbog povećanja projekata u provedbi povećani su i navedeni rashodi.</w:t>
      </w:r>
    </w:p>
    <w:p w:rsidR="0079377C" w:rsidRDefault="00D64D14">
      <w:r>
        <w:t>Radi promjene pozitivnih propisa ukazala se potreba dodatnog usavršavanja zaposlenih.</w:t>
      </w:r>
    </w:p>
    <w:p w:rsidR="0079377C" w:rsidRDefault="0079377C"/>
    <w:p w:rsidR="0079377C" w:rsidRDefault="00D64D14">
      <w:pPr>
        <w:keepNext/>
        <w:spacing w:line="240" w:lineRule="auto"/>
        <w:jc w:val="center"/>
      </w:pPr>
      <w:r>
        <w:rPr>
          <w:sz w:val="28"/>
        </w:rPr>
        <w:t>Bilješka 10.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3223</w:t>
            </w:r>
          </w:p>
        </w:tc>
        <w:tc>
          <w:tcPr>
            <w:tcW w:w="3180" w:type="dxa"/>
            <w:tcMar>
              <w:top w:w="0" w:type="dxa"/>
              <w:bottom w:w="0" w:type="dxa"/>
            </w:tcMar>
            <w:vAlign w:val="center"/>
          </w:tcPr>
          <w:p w:rsidR="0079377C" w:rsidRDefault="00D64D14">
            <w:pPr>
              <w:keepNext/>
              <w:keepLines/>
              <w:spacing w:after="0" w:line="240" w:lineRule="auto"/>
            </w:pPr>
            <w:r>
              <w:rPr>
                <w:sz w:val="18"/>
              </w:rPr>
              <w:t>Energija</w:t>
            </w:r>
          </w:p>
        </w:tc>
        <w:tc>
          <w:tcPr>
            <w:tcW w:w="700" w:type="dxa"/>
            <w:tcMar>
              <w:top w:w="0" w:type="dxa"/>
              <w:bottom w:w="0" w:type="dxa"/>
            </w:tcMar>
            <w:vAlign w:val="center"/>
          </w:tcPr>
          <w:p w:rsidR="0079377C" w:rsidRDefault="00D64D14">
            <w:pPr>
              <w:keepNext/>
              <w:keepLines/>
              <w:spacing w:after="0" w:line="240" w:lineRule="auto"/>
            </w:pPr>
            <w:r>
              <w:rPr>
                <w:sz w:val="18"/>
              </w:rPr>
              <w:t>3223</w:t>
            </w:r>
          </w:p>
        </w:tc>
        <w:tc>
          <w:tcPr>
            <w:tcW w:w="1860" w:type="dxa"/>
            <w:tcMar>
              <w:top w:w="0" w:type="dxa"/>
              <w:bottom w:w="0" w:type="dxa"/>
            </w:tcMar>
            <w:vAlign w:val="center"/>
          </w:tcPr>
          <w:p w:rsidR="0079377C" w:rsidRDefault="00D64D14">
            <w:pPr>
              <w:keepNext/>
              <w:keepLines/>
              <w:spacing w:after="0" w:line="240" w:lineRule="auto"/>
              <w:jc w:val="right"/>
            </w:pPr>
            <w:r>
              <w:rPr>
                <w:sz w:val="18"/>
              </w:rPr>
              <w:t>4.145,29</w:t>
            </w:r>
          </w:p>
        </w:tc>
        <w:tc>
          <w:tcPr>
            <w:tcW w:w="1860" w:type="dxa"/>
            <w:tcMar>
              <w:top w:w="0" w:type="dxa"/>
              <w:bottom w:w="0" w:type="dxa"/>
            </w:tcMar>
            <w:vAlign w:val="center"/>
          </w:tcPr>
          <w:p w:rsidR="0079377C" w:rsidRDefault="00D64D14">
            <w:pPr>
              <w:keepNext/>
              <w:keepLines/>
              <w:spacing w:after="0" w:line="240" w:lineRule="auto"/>
              <w:jc w:val="right"/>
            </w:pPr>
            <w:r>
              <w:rPr>
                <w:sz w:val="18"/>
              </w:rPr>
              <w:t>6.347,13</w:t>
            </w:r>
          </w:p>
        </w:tc>
        <w:tc>
          <w:tcPr>
            <w:tcW w:w="700" w:type="dxa"/>
            <w:tcMar>
              <w:top w:w="0" w:type="dxa"/>
              <w:bottom w:w="0" w:type="dxa"/>
            </w:tcMar>
            <w:vAlign w:val="center"/>
          </w:tcPr>
          <w:p w:rsidR="0079377C" w:rsidRDefault="00D64D14">
            <w:pPr>
              <w:keepNext/>
              <w:keepLines/>
              <w:spacing w:after="0" w:line="240" w:lineRule="auto"/>
              <w:jc w:val="right"/>
            </w:pPr>
            <w:r>
              <w:rPr>
                <w:sz w:val="18"/>
              </w:rPr>
              <w:t>153,1</w:t>
            </w:r>
          </w:p>
        </w:tc>
      </w:tr>
    </w:tbl>
    <w:p w:rsidR="0079377C" w:rsidRDefault="0079377C">
      <w:pPr>
        <w:spacing w:after="0"/>
      </w:pPr>
    </w:p>
    <w:p w:rsidR="0079377C" w:rsidRDefault="00D64D14">
      <w:r>
        <w:t>Povećanje ovih troškova djelomično je i rezultat drugačijeg knjiženja ulaznih računa za režije, po kojem se troškovi knjiže po vrsti troška, a ne po jednom kontu.</w:t>
      </w:r>
    </w:p>
    <w:p w:rsidR="0079377C" w:rsidRDefault="0079377C"/>
    <w:p w:rsidR="0079377C" w:rsidRDefault="00D64D14">
      <w:pPr>
        <w:keepNext/>
        <w:spacing w:line="240" w:lineRule="auto"/>
        <w:jc w:val="center"/>
      </w:pPr>
      <w:r>
        <w:rPr>
          <w:sz w:val="28"/>
        </w:rPr>
        <w:t>Bilješka 11.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3225</w:t>
            </w:r>
          </w:p>
        </w:tc>
        <w:tc>
          <w:tcPr>
            <w:tcW w:w="3180" w:type="dxa"/>
            <w:tcMar>
              <w:top w:w="0" w:type="dxa"/>
              <w:bottom w:w="0" w:type="dxa"/>
            </w:tcMar>
            <w:vAlign w:val="center"/>
          </w:tcPr>
          <w:p w:rsidR="0079377C" w:rsidRDefault="00D64D14">
            <w:pPr>
              <w:keepNext/>
              <w:keepLines/>
              <w:spacing w:after="0" w:line="240" w:lineRule="auto"/>
            </w:pPr>
            <w:r>
              <w:rPr>
                <w:sz w:val="18"/>
              </w:rPr>
              <w:t>Sitni inventar i autogume</w:t>
            </w:r>
          </w:p>
        </w:tc>
        <w:tc>
          <w:tcPr>
            <w:tcW w:w="700" w:type="dxa"/>
            <w:tcMar>
              <w:top w:w="0" w:type="dxa"/>
              <w:bottom w:w="0" w:type="dxa"/>
            </w:tcMar>
            <w:vAlign w:val="center"/>
          </w:tcPr>
          <w:p w:rsidR="0079377C" w:rsidRDefault="00D64D14">
            <w:pPr>
              <w:keepNext/>
              <w:keepLines/>
              <w:spacing w:after="0" w:line="240" w:lineRule="auto"/>
            </w:pPr>
            <w:r>
              <w:rPr>
                <w:sz w:val="18"/>
              </w:rPr>
              <w:t>3225</w:t>
            </w:r>
          </w:p>
        </w:tc>
        <w:tc>
          <w:tcPr>
            <w:tcW w:w="1860" w:type="dxa"/>
            <w:tcMar>
              <w:top w:w="0" w:type="dxa"/>
              <w:bottom w:w="0" w:type="dxa"/>
            </w:tcMar>
            <w:vAlign w:val="center"/>
          </w:tcPr>
          <w:p w:rsidR="0079377C" w:rsidRDefault="00D64D14">
            <w:pPr>
              <w:keepNext/>
              <w:keepLines/>
              <w:spacing w:after="0" w:line="240" w:lineRule="auto"/>
              <w:jc w:val="right"/>
            </w:pPr>
            <w:r>
              <w:rPr>
                <w:sz w:val="18"/>
              </w:rPr>
              <w:t>802,32</w:t>
            </w:r>
          </w:p>
        </w:tc>
        <w:tc>
          <w:tcPr>
            <w:tcW w:w="1860" w:type="dxa"/>
            <w:tcMar>
              <w:top w:w="0" w:type="dxa"/>
              <w:bottom w:w="0" w:type="dxa"/>
            </w:tcMar>
            <w:vAlign w:val="center"/>
          </w:tcPr>
          <w:p w:rsidR="0079377C" w:rsidRDefault="00D64D14">
            <w:pPr>
              <w:keepNext/>
              <w:keepLines/>
              <w:spacing w:after="0" w:line="240" w:lineRule="auto"/>
              <w:jc w:val="right"/>
            </w:pPr>
            <w:r>
              <w:rPr>
                <w:sz w:val="18"/>
              </w:rPr>
              <w:t>2.803,00</w:t>
            </w:r>
          </w:p>
        </w:tc>
        <w:tc>
          <w:tcPr>
            <w:tcW w:w="700" w:type="dxa"/>
            <w:tcMar>
              <w:top w:w="0" w:type="dxa"/>
              <w:bottom w:w="0" w:type="dxa"/>
            </w:tcMar>
            <w:vAlign w:val="center"/>
          </w:tcPr>
          <w:p w:rsidR="0079377C" w:rsidRDefault="00D64D14">
            <w:pPr>
              <w:keepNext/>
              <w:keepLines/>
              <w:spacing w:after="0" w:line="240" w:lineRule="auto"/>
              <w:jc w:val="right"/>
            </w:pPr>
            <w:r>
              <w:rPr>
                <w:sz w:val="18"/>
              </w:rPr>
              <w:t>349,4</w:t>
            </w:r>
          </w:p>
        </w:tc>
      </w:tr>
    </w:tbl>
    <w:p w:rsidR="0079377C" w:rsidRDefault="0079377C">
      <w:pPr>
        <w:spacing w:after="0"/>
      </w:pPr>
    </w:p>
    <w:p w:rsidR="0079377C" w:rsidRDefault="00D64D14">
      <w:r>
        <w:lastRenderedPageBreak/>
        <w:t>Ove godine nabavljeni su novi mobilni telefoni zbog čega se povećao i trošak sitnog inventara.</w:t>
      </w:r>
    </w:p>
    <w:p w:rsidR="0079377C" w:rsidRDefault="0079377C"/>
    <w:p w:rsidR="0079377C" w:rsidRDefault="00D64D14">
      <w:pPr>
        <w:keepNext/>
        <w:spacing w:line="240" w:lineRule="auto"/>
        <w:jc w:val="center"/>
      </w:pPr>
      <w:r>
        <w:rPr>
          <w:sz w:val="28"/>
        </w:rPr>
        <w:t>Bilješka 12.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3233</w:t>
            </w:r>
          </w:p>
        </w:tc>
        <w:tc>
          <w:tcPr>
            <w:tcW w:w="3180" w:type="dxa"/>
            <w:tcMar>
              <w:top w:w="0" w:type="dxa"/>
              <w:bottom w:w="0" w:type="dxa"/>
            </w:tcMar>
            <w:vAlign w:val="center"/>
          </w:tcPr>
          <w:p w:rsidR="0079377C" w:rsidRDefault="00D64D14">
            <w:pPr>
              <w:keepNext/>
              <w:keepLines/>
              <w:spacing w:after="0" w:line="240" w:lineRule="auto"/>
            </w:pPr>
            <w:r>
              <w:rPr>
                <w:sz w:val="18"/>
              </w:rPr>
              <w:t>Usluge promidžbe i informiranja</w:t>
            </w:r>
          </w:p>
        </w:tc>
        <w:tc>
          <w:tcPr>
            <w:tcW w:w="700" w:type="dxa"/>
            <w:tcMar>
              <w:top w:w="0" w:type="dxa"/>
              <w:bottom w:w="0" w:type="dxa"/>
            </w:tcMar>
            <w:vAlign w:val="center"/>
          </w:tcPr>
          <w:p w:rsidR="0079377C" w:rsidRDefault="00D64D14">
            <w:pPr>
              <w:keepNext/>
              <w:keepLines/>
              <w:spacing w:after="0" w:line="240" w:lineRule="auto"/>
            </w:pPr>
            <w:r>
              <w:rPr>
                <w:sz w:val="18"/>
              </w:rPr>
              <w:t>3233</w:t>
            </w:r>
          </w:p>
        </w:tc>
        <w:tc>
          <w:tcPr>
            <w:tcW w:w="1860" w:type="dxa"/>
            <w:tcMar>
              <w:top w:w="0" w:type="dxa"/>
              <w:bottom w:w="0" w:type="dxa"/>
            </w:tcMar>
            <w:vAlign w:val="center"/>
          </w:tcPr>
          <w:p w:rsidR="0079377C" w:rsidRDefault="00D64D14">
            <w:pPr>
              <w:keepNext/>
              <w:keepLines/>
              <w:spacing w:after="0" w:line="240" w:lineRule="auto"/>
              <w:jc w:val="right"/>
            </w:pPr>
            <w:r>
              <w:rPr>
                <w:sz w:val="18"/>
              </w:rPr>
              <w:t>4.470,50</w:t>
            </w:r>
          </w:p>
        </w:tc>
        <w:tc>
          <w:tcPr>
            <w:tcW w:w="1860" w:type="dxa"/>
            <w:tcMar>
              <w:top w:w="0" w:type="dxa"/>
              <w:bottom w:w="0" w:type="dxa"/>
            </w:tcMar>
            <w:vAlign w:val="center"/>
          </w:tcPr>
          <w:p w:rsidR="0079377C" w:rsidRDefault="00D64D14">
            <w:pPr>
              <w:keepNext/>
              <w:keepLines/>
              <w:spacing w:after="0" w:line="240" w:lineRule="auto"/>
              <w:jc w:val="right"/>
            </w:pPr>
            <w:r>
              <w:rPr>
                <w:sz w:val="18"/>
              </w:rPr>
              <w:t>13.607,52</w:t>
            </w:r>
          </w:p>
        </w:tc>
        <w:tc>
          <w:tcPr>
            <w:tcW w:w="700" w:type="dxa"/>
            <w:tcMar>
              <w:top w:w="0" w:type="dxa"/>
              <w:bottom w:w="0" w:type="dxa"/>
            </w:tcMar>
            <w:vAlign w:val="center"/>
          </w:tcPr>
          <w:p w:rsidR="0079377C" w:rsidRDefault="00D64D14">
            <w:pPr>
              <w:keepNext/>
              <w:keepLines/>
              <w:spacing w:after="0" w:line="240" w:lineRule="auto"/>
              <w:jc w:val="right"/>
            </w:pPr>
            <w:r>
              <w:rPr>
                <w:sz w:val="18"/>
              </w:rPr>
              <w:t>304,4</w:t>
            </w:r>
          </w:p>
        </w:tc>
      </w:tr>
    </w:tbl>
    <w:p w:rsidR="0079377C" w:rsidRDefault="0079377C">
      <w:pPr>
        <w:spacing w:after="0"/>
      </w:pPr>
    </w:p>
    <w:p w:rsidR="0079377C" w:rsidRDefault="00D64D14">
      <w:r>
        <w:t>Usluge promidžbe vezane su uz projekte EU i to:SESE, BEE(A)WARE, Odziv, Adrisky i Harmonmmisions. </w:t>
      </w:r>
    </w:p>
    <w:p w:rsidR="0079377C" w:rsidRDefault="0079377C"/>
    <w:p w:rsidR="0079377C" w:rsidRDefault="00D64D14">
      <w:pPr>
        <w:keepNext/>
        <w:spacing w:line="240" w:lineRule="auto"/>
        <w:jc w:val="center"/>
      </w:pPr>
      <w:r>
        <w:rPr>
          <w:sz w:val="28"/>
        </w:rPr>
        <w:t>Bilješka 13.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w:t>
            </w:r>
            <w:r>
              <w:rPr>
                <w:b/>
                <w:sz w:val="18"/>
              </w:rPr>
              <w:t>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3235</w:t>
            </w:r>
          </w:p>
        </w:tc>
        <w:tc>
          <w:tcPr>
            <w:tcW w:w="3180" w:type="dxa"/>
            <w:tcMar>
              <w:top w:w="0" w:type="dxa"/>
              <w:bottom w:w="0" w:type="dxa"/>
            </w:tcMar>
            <w:vAlign w:val="center"/>
          </w:tcPr>
          <w:p w:rsidR="0079377C" w:rsidRDefault="00D64D14">
            <w:pPr>
              <w:keepNext/>
              <w:keepLines/>
              <w:spacing w:after="0" w:line="240" w:lineRule="auto"/>
            </w:pPr>
            <w:r>
              <w:rPr>
                <w:sz w:val="18"/>
              </w:rPr>
              <w:t>Zakupnine i najamnine</w:t>
            </w:r>
          </w:p>
        </w:tc>
        <w:tc>
          <w:tcPr>
            <w:tcW w:w="700" w:type="dxa"/>
            <w:tcMar>
              <w:top w:w="0" w:type="dxa"/>
              <w:bottom w:w="0" w:type="dxa"/>
            </w:tcMar>
            <w:vAlign w:val="center"/>
          </w:tcPr>
          <w:p w:rsidR="0079377C" w:rsidRDefault="00D64D14">
            <w:pPr>
              <w:keepNext/>
              <w:keepLines/>
              <w:spacing w:after="0" w:line="240" w:lineRule="auto"/>
            </w:pPr>
            <w:r>
              <w:rPr>
                <w:sz w:val="18"/>
              </w:rPr>
              <w:t>3235</w:t>
            </w:r>
          </w:p>
        </w:tc>
        <w:tc>
          <w:tcPr>
            <w:tcW w:w="1860" w:type="dxa"/>
            <w:tcMar>
              <w:top w:w="0" w:type="dxa"/>
              <w:bottom w:w="0" w:type="dxa"/>
            </w:tcMar>
            <w:vAlign w:val="center"/>
          </w:tcPr>
          <w:p w:rsidR="0079377C" w:rsidRDefault="00D64D14">
            <w:pPr>
              <w:keepNext/>
              <w:keepLines/>
              <w:spacing w:after="0" w:line="240" w:lineRule="auto"/>
              <w:jc w:val="right"/>
            </w:pPr>
            <w:r>
              <w:rPr>
                <w:sz w:val="18"/>
              </w:rPr>
              <w:t>9.799,56</w:t>
            </w:r>
          </w:p>
        </w:tc>
        <w:tc>
          <w:tcPr>
            <w:tcW w:w="1860" w:type="dxa"/>
            <w:tcMar>
              <w:top w:w="0" w:type="dxa"/>
              <w:bottom w:w="0" w:type="dxa"/>
            </w:tcMar>
            <w:vAlign w:val="center"/>
          </w:tcPr>
          <w:p w:rsidR="0079377C" w:rsidRDefault="00D64D14">
            <w:pPr>
              <w:keepNext/>
              <w:keepLines/>
              <w:spacing w:after="0" w:line="240" w:lineRule="auto"/>
              <w:jc w:val="right"/>
            </w:pPr>
            <w:r>
              <w:rPr>
                <w:sz w:val="18"/>
              </w:rPr>
              <w:t>27.272,53</w:t>
            </w:r>
          </w:p>
        </w:tc>
        <w:tc>
          <w:tcPr>
            <w:tcW w:w="700" w:type="dxa"/>
            <w:tcMar>
              <w:top w:w="0" w:type="dxa"/>
              <w:bottom w:w="0" w:type="dxa"/>
            </w:tcMar>
            <w:vAlign w:val="center"/>
          </w:tcPr>
          <w:p w:rsidR="0079377C" w:rsidRDefault="00D64D14">
            <w:pPr>
              <w:keepNext/>
              <w:keepLines/>
              <w:spacing w:after="0" w:line="240" w:lineRule="auto"/>
              <w:jc w:val="right"/>
            </w:pPr>
            <w:r>
              <w:rPr>
                <w:sz w:val="18"/>
              </w:rPr>
              <w:t>278,3</w:t>
            </w:r>
          </w:p>
        </w:tc>
      </w:tr>
    </w:tbl>
    <w:p w:rsidR="0079377C" w:rsidRDefault="0079377C">
      <w:pPr>
        <w:spacing w:after="0"/>
      </w:pPr>
    </w:p>
    <w:p w:rsidR="0079377C" w:rsidRDefault="00D64D14">
      <w:r>
        <w:t>Usluge zakupnine bilježe veliko povećanje. Prije svega zbog znatnog povećanja cijene najma poslovnog prostora i najma dvorane po projektima SESE i Harmonmmision.</w:t>
      </w:r>
    </w:p>
    <w:p w:rsidR="0079377C" w:rsidRDefault="0079377C"/>
    <w:p w:rsidR="0079377C" w:rsidRDefault="00D64D14">
      <w:pPr>
        <w:keepNext/>
        <w:spacing w:line="240" w:lineRule="auto"/>
        <w:jc w:val="center"/>
      </w:pPr>
      <w:r>
        <w:rPr>
          <w:sz w:val="28"/>
        </w:rPr>
        <w:t>Bilješka 14.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w:t>
            </w:r>
            <w:r>
              <w:rPr>
                <w:b/>
                <w:sz w:val="18"/>
              </w:rPr>
              <w:t xml:space="preserve">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3237</w:t>
            </w:r>
          </w:p>
        </w:tc>
        <w:tc>
          <w:tcPr>
            <w:tcW w:w="3180" w:type="dxa"/>
            <w:tcMar>
              <w:top w:w="0" w:type="dxa"/>
              <w:bottom w:w="0" w:type="dxa"/>
            </w:tcMar>
            <w:vAlign w:val="center"/>
          </w:tcPr>
          <w:p w:rsidR="0079377C" w:rsidRDefault="00D64D14">
            <w:pPr>
              <w:keepNext/>
              <w:keepLines/>
              <w:spacing w:after="0" w:line="240" w:lineRule="auto"/>
            </w:pPr>
            <w:r>
              <w:rPr>
                <w:sz w:val="18"/>
              </w:rPr>
              <w:t>Intelektualne i osobne usluge</w:t>
            </w:r>
          </w:p>
        </w:tc>
        <w:tc>
          <w:tcPr>
            <w:tcW w:w="700" w:type="dxa"/>
            <w:tcMar>
              <w:top w:w="0" w:type="dxa"/>
              <w:bottom w:w="0" w:type="dxa"/>
            </w:tcMar>
            <w:vAlign w:val="center"/>
          </w:tcPr>
          <w:p w:rsidR="0079377C" w:rsidRDefault="00D64D14">
            <w:pPr>
              <w:keepNext/>
              <w:keepLines/>
              <w:spacing w:after="0" w:line="240" w:lineRule="auto"/>
            </w:pPr>
            <w:r>
              <w:rPr>
                <w:sz w:val="18"/>
              </w:rPr>
              <w:t>3237</w:t>
            </w:r>
          </w:p>
        </w:tc>
        <w:tc>
          <w:tcPr>
            <w:tcW w:w="1860" w:type="dxa"/>
            <w:tcMar>
              <w:top w:w="0" w:type="dxa"/>
              <w:bottom w:w="0" w:type="dxa"/>
            </w:tcMar>
            <w:vAlign w:val="center"/>
          </w:tcPr>
          <w:p w:rsidR="0079377C" w:rsidRDefault="00D64D14">
            <w:pPr>
              <w:keepNext/>
              <w:keepLines/>
              <w:spacing w:after="0" w:line="240" w:lineRule="auto"/>
              <w:jc w:val="right"/>
            </w:pPr>
            <w:r>
              <w:rPr>
                <w:sz w:val="18"/>
              </w:rPr>
              <w:t>44.185,72</w:t>
            </w:r>
          </w:p>
        </w:tc>
        <w:tc>
          <w:tcPr>
            <w:tcW w:w="1860" w:type="dxa"/>
            <w:tcMar>
              <w:top w:w="0" w:type="dxa"/>
              <w:bottom w:w="0" w:type="dxa"/>
            </w:tcMar>
            <w:vAlign w:val="center"/>
          </w:tcPr>
          <w:p w:rsidR="0079377C" w:rsidRDefault="00D64D14">
            <w:pPr>
              <w:keepNext/>
              <w:keepLines/>
              <w:spacing w:after="0" w:line="240" w:lineRule="auto"/>
              <w:jc w:val="right"/>
            </w:pPr>
            <w:r>
              <w:rPr>
                <w:sz w:val="18"/>
              </w:rPr>
              <w:t>57.011,66</w:t>
            </w:r>
          </w:p>
        </w:tc>
        <w:tc>
          <w:tcPr>
            <w:tcW w:w="700" w:type="dxa"/>
            <w:tcMar>
              <w:top w:w="0" w:type="dxa"/>
              <w:bottom w:w="0" w:type="dxa"/>
            </w:tcMar>
            <w:vAlign w:val="center"/>
          </w:tcPr>
          <w:p w:rsidR="0079377C" w:rsidRDefault="00D64D14">
            <w:pPr>
              <w:keepNext/>
              <w:keepLines/>
              <w:spacing w:after="0" w:line="240" w:lineRule="auto"/>
              <w:jc w:val="right"/>
            </w:pPr>
            <w:r>
              <w:rPr>
                <w:sz w:val="18"/>
              </w:rPr>
              <w:t>129,0</w:t>
            </w:r>
          </w:p>
        </w:tc>
      </w:tr>
    </w:tbl>
    <w:p w:rsidR="0079377C" w:rsidRDefault="0079377C">
      <w:pPr>
        <w:spacing w:after="0"/>
      </w:pPr>
    </w:p>
    <w:p w:rsidR="0079377C" w:rsidRDefault="00D64D14">
      <w:r>
        <w:t>Intelektualne usluge odnose se na knjigovodstvene, računalne usluge i uslege vezane uz provođenje projekata. Povećane su u odnosu na prethodnu godinu zbog povećanja cijene računovodstvene usluge i usluga vezanih uz provođenje projekata EU.</w:t>
      </w:r>
    </w:p>
    <w:p w:rsidR="0079377C" w:rsidRDefault="0079377C"/>
    <w:p w:rsidR="0079377C" w:rsidRDefault="00D64D14">
      <w:pPr>
        <w:keepNext/>
        <w:spacing w:line="240" w:lineRule="auto"/>
        <w:jc w:val="center"/>
      </w:pPr>
      <w:r>
        <w:rPr>
          <w:sz w:val="28"/>
        </w:rPr>
        <w:lastRenderedPageBreak/>
        <w:t>Bilješka 15.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w:t>
            </w:r>
            <w:r>
              <w:rPr>
                <w:b/>
                <w:sz w:val="18"/>
              </w:rPr>
              <w:t>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3238</w:t>
            </w:r>
          </w:p>
        </w:tc>
        <w:tc>
          <w:tcPr>
            <w:tcW w:w="3180" w:type="dxa"/>
            <w:tcMar>
              <w:top w:w="0" w:type="dxa"/>
              <w:bottom w:w="0" w:type="dxa"/>
            </w:tcMar>
            <w:vAlign w:val="center"/>
          </w:tcPr>
          <w:p w:rsidR="0079377C" w:rsidRDefault="00D64D14">
            <w:pPr>
              <w:keepNext/>
              <w:keepLines/>
              <w:spacing w:after="0" w:line="240" w:lineRule="auto"/>
            </w:pPr>
            <w:r>
              <w:rPr>
                <w:sz w:val="18"/>
              </w:rPr>
              <w:t>Računalne usluge</w:t>
            </w:r>
          </w:p>
        </w:tc>
        <w:tc>
          <w:tcPr>
            <w:tcW w:w="700" w:type="dxa"/>
            <w:tcMar>
              <w:top w:w="0" w:type="dxa"/>
              <w:bottom w:w="0" w:type="dxa"/>
            </w:tcMar>
            <w:vAlign w:val="center"/>
          </w:tcPr>
          <w:p w:rsidR="0079377C" w:rsidRDefault="00D64D14">
            <w:pPr>
              <w:keepNext/>
              <w:keepLines/>
              <w:spacing w:after="0" w:line="240" w:lineRule="auto"/>
            </w:pPr>
            <w:r>
              <w:rPr>
                <w:sz w:val="18"/>
              </w:rPr>
              <w:t>3238</w:t>
            </w:r>
          </w:p>
        </w:tc>
        <w:tc>
          <w:tcPr>
            <w:tcW w:w="1860" w:type="dxa"/>
            <w:tcMar>
              <w:top w:w="0" w:type="dxa"/>
              <w:bottom w:w="0" w:type="dxa"/>
            </w:tcMar>
            <w:vAlign w:val="center"/>
          </w:tcPr>
          <w:p w:rsidR="0079377C" w:rsidRDefault="00D64D14">
            <w:pPr>
              <w:keepNext/>
              <w:keepLines/>
              <w:spacing w:after="0" w:line="240" w:lineRule="auto"/>
              <w:jc w:val="right"/>
            </w:pPr>
            <w:r>
              <w:rPr>
                <w:sz w:val="18"/>
              </w:rPr>
              <w:t>2.662,12</w:t>
            </w:r>
          </w:p>
        </w:tc>
        <w:tc>
          <w:tcPr>
            <w:tcW w:w="1860" w:type="dxa"/>
            <w:tcMar>
              <w:top w:w="0" w:type="dxa"/>
              <w:bottom w:w="0" w:type="dxa"/>
            </w:tcMar>
            <w:vAlign w:val="center"/>
          </w:tcPr>
          <w:p w:rsidR="0079377C" w:rsidRDefault="00D64D14">
            <w:pPr>
              <w:keepNext/>
              <w:keepLines/>
              <w:spacing w:after="0" w:line="240" w:lineRule="auto"/>
              <w:jc w:val="right"/>
            </w:pPr>
            <w:r>
              <w:rPr>
                <w:sz w:val="18"/>
              </w:rPr>
              <w:t>10.149,74</w:t>
            </w:r>
          </w:p>
        </w:tc>
        <w:tc>
          <w:tcPr>
            <w:tcW w:w="700" w:type="dxa"/>
            <w:tcMar>
              <w:top w:w="0" w:type="dxa"/>
              <w:bottom w:w="0" w:type="dxa"/>
            </w:tcMar>
            <w:vAlign w:val="center"/>
          </w:tcPr>
          <w:p w:rsidR="0079377C" w:rsidRDefault="00D64D14">
            <w:pPr>
              <w:keepNext/>
              <w:keepLines/>
              <w:spacing w:after="0" w:line="240" w:lineRule="auto"/>
              <w:jc w:val="right"/>
            </w:pPr>
            <w:r>
              <w:rPr>
                <w:sz w:val="18"/>
              </w:rPr>
              <w:t>381,3</w:t>
            </w:r>
          </w:p>
        </w:tc>
      </w:tr>
    </w:tbl>
    <w:p w:rsidR="0079377C" w:rsidRDefault="0079377C">
      <w:pPr>
        <w:spacing w:after="0"/>
      </w:pPr>
    </w:p>
    <w:p w:rsidR="0079377C" w:rsidRDefault="00D64D14">
      <w:r>
        <w:t xml:space="preserve">Računalne usluge bilježe porast od čak 281,3%. Radi poslovanja preko jedinstvenog računa proračuna uveden je novi računovodstveni program koji je utjecao na novu dodatnu uslugu održavanja programa. Osim toga uvedena je i nova usluga održavanja cjelokupnog </w:t>
      </w:r>
      <w:r>
        <w:t>sustava.</w:t>
      </w:r>
    </w:p>
    <w:p w:rsidR="0079377C" w:rsidRDefault="0079377C"/>
    <w:p w:rsidR="0079377C" w:rsidRDefault="00D64D14">
      <w:pPr>
        <w:keepNext/>
        <w:spacing w:line="240" w:lineRule="auto"/>
        <w:jc w:val="center"/>
      </w:pPr>
      <w:r>
        <w:rPr>
          <w:sz w:val="28"/>
        </w:rPr>
        <w:t>Bilješka 16.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3239</w:t>
            </w:r>
          </w:p>
        </w:tc>
        <w:tc>
          <w:tcPr>
            <w:tcW w:w="3180" w:type="dxa"/>
            <w:tcMar>
              <w:top w:w="0" w:type="dxa"/>
              <w:bottom w:w="0" w:type="dxa"/>
            </w:tcMar>
            <w:vAlign w:val="center"/>
          </w:tcPr>
          <w:p w:rsidR="0079377C" w:rsidRDefault="00D64D14">
            <w:pPr>
              <w:keepNext/>
              <w:keepLines/>
              <w:spacing w:after="0" w:line="240" w:lineRule="auto"/>
            </w:pPr>
            <w:r>
              <w:rPr>
                <w:sz w:val="18"/>
              </w:rPr>
              <w:t>Ostale usluge</w:t>
            </w:r>
          </w:p>
        </w:tc>
        <w:tc>
          <w:tcPr>
            <w:tcW w:w="700" w:type="dxa"/>
            <w:tcMar>
              <w:top w:w="0" w:type="dxa"/>
              <w:bottom w:w="0" w:type="dxa"/>
            </w:tcMar>
            <w:vAlign w:val="center"/>
          </w:tcPr>
          <w:p w:rsidR="0079377C" w:rsidRDefault="00D64D14">
            <w:pPr>
              <w:keepNext/>
              <w:keepLines/>
              <w:spacing w:after="0" w:line="240" w:lineRule="auto"/>
            </w:pPr>
            <w:r>
              <w:rPr>
                <w:sz w:val="18"/>
              </w:rPr>
              <w:t>3239</w:t>
            </w:r>
          </w:p>
        </w:tc>
        <w:tc>
          <w:tcPr>
            <w:tcW w:w="1860" w:type="dxa"/>
            <w:tcMar>
              <w:top w:w="0" w:type="dxa"/>
              <w:bottom w:w="0" w:type="dxa"/>
            </w:tcMar>
            <w:vAlign w:val="center"/>
          </w:tcPr>
          <w:p w:rsidR="0079377C" w:rsidRDefault="00D64D14">
            <w:pPr>
              <w:keepNext/>
              <w:keepLines/>
              <w:spacing w:after="0" w:line="240" w:lineRule="auto"/>
              <w:jc w:val="right"/>
            </w:pPr>
            <w:r>
              <w:rPr>
                <w:sz w:val="18"/>
              </w:rPr>
              <w:t>6.074,96</w:t>
            </w:r>
          </w:p>
        </w:tc>
        <w:tc>
          <w:tcPr>
            <w:tcW w:w="1860" w:type="dxa"/>
            <w:tcMar>
              <w:top w:w="0" w:type="dxa"/>
              <w:bottom w:w="0" w:type="dxa"/>
            </w:tcMar>
            <w:vAlign w:val="center"/>
          </w:tcPr>
          <w:p w:rsidR="0079377C" w:rsidRDefault="00D64D14">
            <w:pPr>
              <w:keepNext/>
              <w:keepLines/>
              <w:spacing w:after="0" w:line="240" w:lineRule="auto"/>
              <w:jc w:val="right"/>
            </w:pPr>
            <w:r>
              <w:rPr>
                <w:sz w:val="18"/>
              </w:rPr>
              <w:t>16.059,32</w:t>
            </w:r>
          </w:p>
        </w:tc>
        <w:tc>
          <w:tcPr>
            <w:tcW w:w="700" w:type="dxa"/>
            <w:tcMar>
              <w:top w:w="0" w:type="dxa"/>
              <w:bottom w:w="0" w:type="dxa"/>
            </w:tcMar>
            <w:vAlign w:val="center"/>
          </w:tcPr>
          <w:p w:rsidR="0079377C" w:rsidRDefault="00D64D14">
            <w:pPr>
              <w:keepNext/>
              <w:keepLines/>
              <w:spacing w:after="0" w:line="240" w:lineRule="auto"/>
              <w:jc w:val="right"/>
            </w:pPr>
            <w:r>
              <w:rPr>
                <w:sz w:val="18"/>
              </w:rPr>
              <w:t>264,4</w:t>
            </w:r>
          </w:p>
        </w:tc>
      </w:tr>
    </w:tbl>
    <w:p w:rsidR="0079377C" w:rsidRDefault="0079377C">
      <w:pPr>
        <w:spacing w:after="0"/>
      </w:pPr>
    </w:p>
    <w:p w:rsidR="0079377C" w:rsidRDefault="00D64D14">
      <w:r>
        <w:t>Ostale usluge odnose se na usluge čišćenja, čuvanje imovine , grafičke i slične usluge. Veće su zbog povećanja cijene navedenih usluga i projekata EU.</w:t>
      </w:r>
    </w:p>
    <w:p w:rsidR="0079377C" w:rsidRDefault="0079377C"/>
    <w:p w:rsidR="0079377C" w:rsidRDefault="00D64D14">
      <w:pPr>
        <w:keepNext/>
        <w:spacing w:line="240" w:lineRule="auto"/>
        <w:jc w:val="center"/>
      </w:pPr>
      <w:r>
        <w:rPr>
          <w:sz w:val="28"/>
        </w:rPr>
        <w:t>Bilješka 17.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3293</w:t>
            </w:r>
          </w:p>
        </w:tc>
        <w:tc>
          <w:tcPr>
            <w:tcW w:w="3180" w:type="dxa"/>
            <w:tcMar>
              <w:top w:w="0" w:type="dxa"/>
              <w:bottom w:w="0" w:type="dxa"/>
            </w:tcMar>
            <w:vAlign w:val="center"/>
          </w:tcPr>
          <w:p w:rsidR="0079377C" w:rsidRDefault="00D64D14">
            <w:pPr>
              <w:keepNext/>
              <w:keepLines/>
              <w:spacing w:after="0" w:line="240" w:lineRule="auto"/>
            </w:pPr>
            <w:r>
              <w:rPr>
                <w:sz w:val="18"/>
              </w:rPr>
              <w:t>Reprezentacija</w:t>
            </w:r>
          </w:p>
        </w:tc>
        <w:tc>
          <w:tcPr>
            <w:tcW w:w="700" w:type="dxa"/>
            <w:tcMar>
              <w:top w:w="0" w:type="dxa"/>
              <w:bottom w:w="0" w:type="dxa"/>
            </w:tcMar>
            <w:vAlign w:val="center"/>
          </w:tcPr>
          <w:p w:rsidR="0079377C" w:rsidRDefault="00D64D14">
            <w:pPr>
              <w:keepNext/>
              <w:keepLines/>
              <w:spacing w:after="0" w:line="240" w:lineRule="auto"/>
            </w:pPr>
            <w:r>
              <w:rPr>
                <w:sz w:val="18"/>
              </w:rPr>
              <w:t>3293</w:t>
            </w:r>
          </w:p>
        </w:tc>
        <w:tc>
          <w:tcPr>
            <w:tcW w:w="1860" w:type="dxa"/>
            <w:tcMar>
              <w:top w:w="0" w:type="dxa"/>
              <w:bottom w:w="0" w:type="dxa"/>
            </w:tcMar>
            <w:vAlign w:val="center"/>
          </w:tcPr>
          <w:p w:rsidR="0079377C" w:rsidRDefault="00D64D14">
            <w:pPr>
              <w:keepNext/>
              <w:keepLines/>
              <w:spacing w:after="0" w:line="240" w:lineRule="auto"/>
              <w:jc w:val="right"/>
            </w:pPr>
            <w:r>
              <w:rPr>
                <w:sz w:val="18"/>
              </w:rPr>
              <w:t>11.853,73</w:t>
            </w:r>
          </w:p>
        </w:tc>
        <w:tc>
          <w:tcPr>
            <w:tcW w:w="1860" w:type="dxa"/>
            <w:tcMar>
              <w:top w:w="0" w:type="dxa"/>
              <w:bottom w:w="0" w:type="dxa"/>
            </w:tcMar>
            <w:vAlign w:val="center"/>
          </w:tcPr>
          <w:p w:rsidR="0079377C" w:rsidRDefault="00D64D14">
            <w:pPr>
              <w:keepNext/>
              <w:keepLines/>
              <w:spacing w:after="0" w:line="240" w:lineRule="auto"/>
              <w:jc w:val="right"/>
            </w:pPr>
            <w:r>
              <w:rPr>
                <w:sz w:val="18"/>
              </w:rPr>
              <w:t>23.526,98</w:t>
            </w:r>
          </w:p>
        </w:tc>
        <w:tc>
          <w:tcPr>
            <w:tcW w:w="700" w:type="dxa"/>
            <w:tcMar>
              <w:top w:w="0" w:type="dxa"/>
              <w:bottom w:w="0" w:type="dxa"/>
            </w:tcMar>
            <w:vAlign w:val="center"/>
          </w:tcPr>
          <w:p w:rsidR="0079377C" w:rsidRDefault="00D64D14">
            <w:pPr>
              <w:keepNext/>
              <w:keepLines/>
              <w:spacing w:after="0" w:line="240" w:lineRule="auto"/>
              <w:jc w:val="right"/>
            </w:pPr>
            <w:r>
              <w:rPr>
                <w:sz w:val="18"/>
              </w:rPr>
              <w:t>198,5</w:t>
            </w:r>
          </w:p>
        </w:tc>
      </w:tr>
    </w:tbl>
    <w:p w:rsidR="0079377C" w:rsidRDefault="0079377C">
      <w:pPr>
        <w:spacing w:after="0"/>
      </w:pPr>
    </w:p>
    <w:p w:rsidR="0079377C" w:rsidRDefault="00D64D14">
      <w:r>
        <w:t>Reprezentacija je veća za 98,5%. U 2025.godini provodilo se 20 projekata, a uz svaki su vezani i troškovi reprezentacije.</w:t>
      </w:r>
    </w:p>
    <w:p w:rsidR="0079377C" w:rsidRDefault="0079377C"/>
    <w:p w:rsidR="0079377C" w:rsidRDefault="00D64D14">
      <w:pPr>
        <w:keepNext/>
        <w:spacing w:line="240" w:lineRule="auto"/>
        <w:jc w:val="center"/>
      </w:pPr>
      <w:r>
        <w:rPr>
          <w:sz w:val="28"/>
        </w:rPr>
        <w:t>Bilješka 18.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Račun </w:t>
            </w:r>
            <w:r>
              <w:rPr>
                <w:b/>
                <w:sz w:val="18"/>
              </w:rPr>
              <w:t>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343</w:t>
            </w:r>
          </w:p>
        </w:tc>
        <w:tc>
          <w:tcPr>
            <w:tcW w:w="3180" w:type="dxa"/>
            <w:tcMar>
              <w:top w:w="0" w:type="dxa"/>
              <w:bottom w:w="0" w:type="dxa"/>
            </w:tcMar>
            <w:vAlign w:val="center"/>
          </w:tcPr>
          <w:p w:rsidR="0079377C" w:rsidRDefault="00D64D14">
            <w:pPr>
              <w:keepNext/>
              <w:keepLines/>
              <w:spacing w:after="0" w:line="240" w:lineRule="auto"/>
            </w:pPr>
            <w:r>
              <w:rPr>
                <w:sz w:val="18"/>
              </w:rPr>
              <w:t>Ostali financijski rashodi (šifre 3431 do 3434)</w:t>
            </w:r>
          </w:p>
        </w:tc>
        <w:tc>
          <w:tcPr>
            <w:tcW w:w="700" w:type="dxa"/>
            <w:tcMar>
              <w:top w:w="0" w:type="dxa"/>
              <w:bottom w:w="0" w:type="dxa"/>
            </w:tcMar>
            <w:vAlign w:val="center"/>
          </w:tcPr>
          <w:p w:rsidR="0079377C" w:rsidRDefault="00D64D14">
            <w:pPr>
              <w:keepNext/>
              <w:keepLines/>
              <w:spacing w:after="0" w:line="240" w:lineRule="auto"/>
            </w:pPr>
            <w:r>
              <w:rPr>
                <w:sz w:val="18"/>
              </w:rPr>
              <w:t>343</w:t>
            </w:r>
          </w:p>
        </w:tc>
        <w:tc>
          <w:tcPr>
            <w:tcW w:w="1860" w:type="dxa"/>
            <w:tcMar>
              <w:top w:w="0" w:type="dxa"/>
              <w:bottom w:w="0" w:type="dxa"/>
            </w:tcMar>
            <w:vAlign w:val="center"/>
          </w:tcPr>
          <w:p w:rsidR="0079377C" w:rsidRDefault="00D64D14">
            <w:pPr>
              <w:keepNext/>
              <w:keepLines/>
              <w:spacing w:after="0" w:line="240" w:lineRule="auto"/>
              <w:jc w:val="right"/>
            </w:pPr>
            <w:r>
              <w:rPr>
                <w:sz w:val="18"/>
              </w:rPr>
              <w:t>463,56</w:t>
            </w:r>
          </w:p>
        </w:tc>
        <w:tc>
          <w:tcPr>
            <w:tcW w:w="1860" w:type="dxa"/>
            <w:tcMar>
              <w:top w:w="0" w:type="dxa"/>
              <w:bottom w:w="0" w:type="dxa"/>
            </w:tcMar>
            <w:vAlign w:val="center"/>
          </w:tcPr>
          <w:p w:rsidR="0079377C" w:rsidRDefault="00D64D14">
            <w:pPr>
              <w:keepNext/>
              <w:keepLines/>
              <w:spacing w:after="0" w:line="240" w:lineRule="auto"/>
              <w:jc w:val="right"/>
            </w:pPr>
            <w:r>
              <w:rPr>
                <w:sz w:val="18"/>
              </w:rPr>
              <w:t>587,90</w:t>
            </w:r>
          </w:p>
        </w:tc>
        <w:tc>
          <w:tcPr>
            <w:tcW w:w="700" w:type="dxa"/>
            <w:tcMar>
              <w:top w:w="0" w:type="dxa"/>
              <w:bottom w:w="0" w:type="dxa"/>
            </w:tcMar>
            <w:vAlign w:val="center"/>
          </w:tcPr>
          <w:p w:rsidR="0079377C" w:rsidRDefault="00D64D14">
            <w:pPr>
              <w:keepNext/>
              <w:keepLines/>
              <w:spacing w:after="0" w:line="240" w:lineRule="auto"/>
              <w:jc w:val="right"/>
            </w:pPr>
            <w:r>
              <w:rPr>
                <w:sz w:val="18"/>
              </w:rPr>
              <w:t>126,8</w:t>
            </w:r>
          </w:p>
        </w:tc>
      </w:tr>
    </w:tbl>
    <w:p w:rsidR="0079377C" w:rsidRDefault="0079377C">
      <w:pPr>
        <w:spacing w:after="0"/>
      </w:pPr>
    </w:p>
    <w:p w:rsidR="0079377C" w:rsidRDefault="00D64D14">
      <w:r>
        <w:t>Financijski rashodi odnose se na usluge platnog prometa i tečajne razlike. Na ove troškove Javna ustanova nema utjecaja.</w:t>
      </w:r>
    </w:p>
    <w:p w:rsidR="0079377C" w:rsidRDefault="0079377C"/>
    <w:p w:rsidR="0079377C" w:rsidRDefault="00D64D14">
      <w:pPr>
        <w:keepNext/>
        <w:spacing w:line="240" w:lineRule="auto"/>
        <w:jc w:val="center"/>
      </w:pPr>
      <w:r>
        <w:rPr>
          <w:sz w:val="28"/>
        </w:rPr>
        <w:lastRenderedPageBreak/>
        <w:t>Bilješka 19.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w:t>
            </w:r>
            <w:r>
              <w:rPr>
                <w:b/>
                <w:sz w:val="18"/>
              </w:rPr>
              <w:t>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36</w:t>
            </w:r>
          </w:p>
        </w:tc>
        <w:tc>
          <w:tcPr>
            <w:tcW w:w="3180" w:type="dxa"/>
            <w:tcMar>
              <w:top w:w="0" w:type="dxa"/>
              <w:bottom w:w="0" w:type="dxa"/>
            </w:tcMar>
            <w:vAlign w:val="center"/>
          </w:tcPr>
          <w:p w:rsidR="0079377C" w:rsidRDefault="00D64D14">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rsidR="0079377C" w:rsidRDefault="00D64D14">
            <w:pPr>
              <w:keepNext/>
              <w:keepLines/>
              <w:spacing w:after="0" w:line="240" w:lineRule="auto"/>
            </w:pPr>
            <w:r>
              <w:rPr>
                <w:sz w:val="18"/>
              </w:rPr>
              <w:t>36</w:t>
            </w:r>
          </w:p>
        </w:tc>
        <w:tc>
          <w:tcPr>
            <w:tcW w:w="1860" w:type="dxa"/>
            <w:tcMar>
              <w:top w:w="0" w:type="dxa"/>
              <w:bottom w:w="0" w:type="dxa"/>
            </w:tcMar>
            <w:vAlign w:val="center"/>
          </w:tcPr>
          <w:p w:rsidR="0079377C" w:rsidRDefault="00D64D14">
            <w:pPr>
              <w:keepNext/>
              <w:keepLines/>
              <w:spacing w:after="0" w:line="240" w:lineRule="auto"/>
              <w:jc w:val="right"/>
            </w:pPr>
            <w:r>
              <w:rPr>
                <w:sz w:val="18"/>
              </w:rPr>
              <w:t>196.385,00</w:t>
            </w:r>
          </w:p>
        </w:tc>
        <w:tc>
          <w:tcPr>
            <w:tcW w:w="1860" w:type="dxa"/>
            <w:tcMar>
              <w:top w:w="0" w:type="dxa"/>
              <w:bottom w:w="0" w:type="dxa"/>
            </w:tcMar>
            <w:vAlign w:val="center"/>
          </w:tcPr>
          <w:p w:rsidR="0079377C" w:rsidRDefault="00D64D14">
            <w:pPr>
              <w:keepNext/>
              <w:keepLines/>
              <w:spacing w:after="0" w:line="240" w:lineRule="auto"/>
              <w:jc w:val="right"/>
            </w:pPr>
            <w:r>
              <w:rPr>
                <w:sz w:val="18"/>
              </w:rPr>
              <w:t>561.050,35</w:t>
            </w:r>
          </w:p>
        </w:tc>
        <w:tc>
          <w:tcPr>
            <w:tcW w:w="700" w:type="dxa"/>
            <w:tcMar>
              <w:top w:w="0" w:type="dxa"/>
              <w:bottom w:w="0" w:type="dxa"/>
            </w:tcMar>
            <w:vAlign w:val="center"/>
          </w:tcPr>
          <w:p w:rsidR="0079377C" w:rsidRDefault="00D64D14">
            <w:pPr>
              <w:keepNext/>
              <w:keepLines/>
              <w:spacing w:after="0" w:line="240" w:lineRule="auto"/>
              <w:jc w:val="right"/>
            </w:pPr>
            <w:r>
              <w:rPr>
                <w:sz w:val="18"/>
              </w:rPr>
              <w:t>285,7</w:t>
            </w:r>
          </w:p>
        </w:tc>
      </w:tr>
    </w:tbl>
    <w:p w:rsidR="0079377C" w:rsidRDefault="0079377C">
      <w:pPr>
        <w:spacing w:after="0"/>
      </w:pPr>
    </w:p>
    <w:p w:rsidR="0079377C" w:rsidRDefault="00D64D14">
      <w:r>
        <w:t>Ovi rashodi odnose se na isplate partnerima na projektu BEE(A)WARE i to inozemnim partnerima te Međimurskoj prirodi i na nadoknadu troškova putovanja partnerima na pojedinim projektima. Na ovoj poziciji knjižen je i povrat sredstva predfinanciranja Međimur</w:t>
      </w:r>
      <w:r>
        <w:t>skoj županiji za 2024.u iznosu od 200.912,23 eur i predfinanciranje iz 2025.godine u iznosu od 127.395,04 eur.</w:t>
      </w:r>
    </w:p>
    <w:p w:rsidR="0079377C" w:rsidRDefault="00D64D14">
      <w:r>
        <w:t> </w:t>
      </w:r>
    </w:p>
    <w:p w:rsidR="0079377C" w:rsidRDefault="0079377C"/>
    <w:p w:rsidR="0079377C" w:rsidRDefault="00D64D14">
      <w:pPr>
        <w:keepNext/>
        <w:spacing w:line="240" w:lineRule="auto"/>
        <w:jc w:val="center"/>
      </w:pPr>
      <w:r>
        <w:rPr>
          <w:sz w:val="28"/>
        </w:rPr>
        <w:t>Bilješka 20.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w:t>
            </w:r>
            <w:r>
              <w:rPr>
                <w:b/>
                <w:sz w:val="18"/>
              </w:rPr>
              <w:t>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38</w:t>
            </w:r>
          </w:p>
        </w:tc>
        <w:tc>
          <w:tcPr>
            <w:tcW w:w="3180" w:type="dxa"/>
            <w:tcMar>
              <w:top w:w="0" w:type="dxa"/>
              <w:bottom w:w="0" w:type="dxa"/>
            </w:tcMar>
            <w:vAlign w:val="center"/>
          </w:tcPr>
          <w:p w:rsidR="0079377C" w:rsidRDefault="00D64D14">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79377C" w:rsidRDefault="00D64D14">
            <w:pPr>
              <w:keepNext/>
              <w:keepLines/>
              <w:spacing w:after="0" w:line="240" w:lineRule="auto"/>
            </w:pPr>
            <w:r>
              <w:rPr>
                <w:sz w:val="18"/>
              </w:rPr>
              <w:t>38</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1.860,46</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Ovdje se radi o prijenosu sredstava Zajednici sportskih udruga Čakovec i Socijalnoj zadruzi Humana nova.</w:t>
      </w:r>
    </w:p>
    <w:p w:rsidR="0079377C" w:rsidRDefault="0079377C"/>
    <w:p w:rsidR="0079377C" w:rsidRDefault="00D64D14">
      <w:pPr>
        <w:keepNext/>
        <w:spacing w:line="240" w:lineRule="auto"/>
        <w:jc w:val="center"/>
      </w:pPr>
      <w:r>
        <w:rPr>
          <w:sz w:val="28"/>
        </w:rPr>
        <w:t>Bilješka 21.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Račun </w:t>
            </w:r>
            <w:r>
              <w:rPr>
                <w:b/>
                <w:sz w:val="18"/>
              </w:rPr>
              <w:t>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MANJAK PRIHODA POSLOVANJA (šifre Z005-6)</w:t>
            </w:r>
          </w:p>
        </w:tc>
        <w:tc>
          <w:tcPr>
            <w:tcW w:w="700" w:type="dxa"/>
            <w:tcMar>
              <w:top w:w="0" w:type="dxa"/>
              <w:bottom w:w="0" w:type="dxa"/>
            </w:tcMar>
            <w:vAlign w:val="center"/>
          </w:tcPr>
          <w:p w:rsidR="0079377C" w:rsidRDefault="00D64D14">
            <w:pPr>
              <w:keepNext/>
              <w:keepLines/>
              <w:spacing w:after="0" w:line="240" w:lineRule="auto"/>
            </w:pPr>
            <w:r>
              <w:rPr>
                <w:sz w:val="18"/>
              </w:rPr>
              <w:t>Y001</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154.045,71</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U izvještajnom razdoblju realiziran je manjak prihoda poslovanja u iznosu od 154.045,71 eur koji će se pokriti sa prenesenim viškom iz prethodnog razdoblja.</w:t>
      </w:r>
    </w:p>
    <w:p w:rsidR="0079377C" w:rsidRDefault="0079377C"/>
    <w:p w:rsidR="0079377C" w:rsidRDefault="00D64D14">
      <w:pPr>
        <w:keepNext/>
        <w:spacing w:line="240" w:lineRule="auto"/>
        <w:jc w:val="center"/>
      </w:pPr>
      <w:r>
        <w:rPr>
          <w:sz w:val="28"/>
        </w:rPr>
        <w:lastRenderedPageBreak/>
        <w:t>Bilješka 22.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96</w:t>
            </w:r>
          </w:p>
        </w:tc>
        <w:tc>
          <w:tcPr>
            <w:tcW w:w="3180" w:type="dxa"/>
            <w:tcMar>
              <w:top w:w="0" w:type="dxa"/>
              <w:bottom w:w="0" w:type="dxa"/>
            </w:tcMar>
            <w:vAlign w:val="center"/>
          </w:tcPr>
          <w:p w:rsidR="0079377C" w:rsidRDefault="00D64D14">
            <w:pPr>
              <w:keepNext/>
              <w:keepLines/>
              <w:spacing w:after="0" w:line="240" w:lineRule="auto"/>
            </w:pPr>
            <w:r>
              <w:rPr>
                <w:sz w:val="18"/>
              </w:rPr>
              <w:t>Obračunati prihodi poslovanja - nenaplaćeni</w:t>
            </w:r>
          </w:p>
        </w:tc>
        <w:tc>
          <w:tcPr>
            <w:tcW w:w="700" w:type="dxa"/>
            <w:tcMar>
              <w:top w:w="0" w:type="dxa"/>
              <w:bottom w:w="0" w:type="dxa"/>
            </w:tcMar>
            <w:vAlign w:val="center"/>
          </w:tcPr>
          <w:p w:rsidR="0079377C" w:rsidRDefault="00D64D14">
            <w:pPr>
              <w:keepNext/>
              <w:keepLines/>
              <w:spacing w:after="0" w:line="240" w:lineRule="auto"/>
            </w:pPr>
            <w:r>
              <w:rPr>
                <w:sz w:val="18"/>
              </w:rPr>
              <w:t>96</w:t>
            </w:r>
          </w:p>
        </w:tc>
        <w:tc>
          <w:tcPr>
            <w:tcW w:w="1860" w:type="dxa"/>
            <w:tcMar>
              <w:top w:w="0" w:type="dxa"/>
              <w:bottom w:w="0" w:type="dxa"/>
            </w:tcMar>
            <w:vAlign w:val="center"/>
          </w:tcPr>
          <w:p w:rsidR="0079377C" w:rsidRDefault="00D64D14">
            <w:pPr>
              <w:keepNext/>
              <w:keepLines/>
              <w:spacing w:after="0" w:line="240" w:lineRule="auto"/>
              <w:jc w:val="right"/>
            </w:pPr>
            <w:r>
              <w:rPr>
                <w:sz w:val="18"/>
              </w:rPr>
              <w:t>259.908,62</w:t>
            </w:r>
          </w:p>
        </w:tc>
        <w:tc>
          <w:tcPr>
            <w:tcW w:w="1860" w:type="dxa"/>
            <w:tcMar>
              <w:top w:w="0" w:type="dxa"/>
              <w:bottom w:w="0" w:type="dxa"/>
            </w:tcMar>
            <w:vAlign w:val="center"/>
          </w:tcPr>
          <w:p w:rsidR="0079377C" w:rsidRDefault="00D64D14">
            <w:pPr>
              <w:keepNext/>
              <w:keepLines/>
              <w:spacing w:after="0" w:line="240" w:lineRule="auto"/>
              <w:jc w:val="right"/>
            </w:pPr>
            <w:r>
              <w:rPr>
                <w:sz w:val="18"/>
              </w:rPr>
              <w:t>302.305,44</w:t>
            </w:r>
          </w:p>
        </w:tc>
        <w:tc>
          <w:tcPr>
            <w:tcW w:w="700" w:type="dxa"/>
            <w:tcMar>
              <w:top w:w="0" w:type="dxa"/>
              <w:bottom w:w="0" w:type="dxa"/>
            </w:tcMar>
            <w:vAlign w:val="center"/>
          </w:tcPr>
          <w:p w:rsidR="0079377C" w:rsidRDefault="00D64D14">
            <w:pPr>
              <w:keepNext/>
              <w:keepLines/>
              <w:spacing w:after="0" w:line="240" w:lineRule="auto"/>
              <w:jc w:val="right"/>
            </w:pPr>
            <w:r>
              <w:rPr>
                <w:sz w:val="18"/>
              </w:rPr>
              <w:t>116,3</w:t>
            </w:r>
          </w:p>
        </w:tc>
      </w:tr>
    </w:tbl>
    <w:p w:rsidR="0079377C" w:rsidRDefault="0079377C">
      <w:pPr>
        <w:spacing w:after="0"/>
      </w:pPr>
    </w:p>
    <w:p w:rsidR="0079377C" w:rsidRDefault="00D64D14">
      <w:r>
        <w:t>Obračunati prihodi odnose se na podnesene zahtjeve za isplatu sredstava po projektima EU.</w:t>
      </w:r>
    </w:p>
    <w:p w:rsidR="0079377C" w:rsidRDefault="0079377C"/>
    <w:p w:rsidR="0079377C" w:rsidRDefault="00D64D14">
      <w:pPr>
        <w:keepNext/>
        <w:spacing w:line="240" w:lineRule="auto"/>
        <w:jc w:val="center"/>
      </w:pPr>
      <w:r>
        <w:rPr>
          <w:sz w:val="28"/>
        </w:rPr>
        <w:t>Bilješka 23.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42</w:t>
            </w:r>
          </w:p>
        </w:tc>
        <w:tc>
          <w:tcPr>
            <w:tcW w:w="3180" w:type="dxa"/>
            <w:tcMar>
              <w:top w:w="0" w:type="dxa"/>
              <w:bottom w:w="0" w:type="dxa"/>
            </w:tcMar>
            <w:vAlign w:val="center"/>
          </w:tcPr>
          <w:p w:rsidR="0079377C" w:rsidRDefault="00D64D14">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79377C" w:rsidRDefault="00D64D14">
            <w:pPr>
              <w:keepNext/>
              <w:keepLines/>
              <w:spacing w:after="0" w:line="240" w:lineRule="auto"/>
            </w:pPr>
            <w:r>
              <w:rPr>
                <w:sz w:val="18"/>
              </w:rPr>
              <w:t>42</w:t>
            </w:r>
          </w:p>
        </w:tc>
        <w:tc>
          <w:tcPr>
            <w:tcW w:w="1860" w:type="dxa"/>
            <w:tcMar>
              <w:top w:w="0" w:type="dxa"/>
              <w:bottom w:w="0" w:type="dxa"/>
            </w:tcMar>
            <w:vAlign w:val="center"/>
          </w:tcPr>
          <w:p w:rsidR="0079377C" w:rsidRDefault="00D64D14">
            <w:pPr>
              <w:keepNext/>
              <w:keepLines/>
              <w:spacing w:after="0" w:line="240" w:lineRule="auto"/>
              <w:jc w:val="right"/>
            </w:pPr>
            <w:r>
              <w:rPr>
                <w:sz w:val="18"/>
              </w:rPr>
              <w:t>6.879,00</w:t>
            </w:r>
          </w:p>
        </w:tc>
        <w:tc>
          <w:tcPr>
            <w:tcW w:w="1860" w:type="dxa"/>
            <w:tcMar>
              <w:top w:w="0" w:type="dxa"/>
              <w:bottom w:w="0" w:type="dxa"/>
            </w:tcMar>
            <w:vAlign w:val="center"/>
          </w:tcPr>
          <w:p w:rsidR="0079377C" w:rsidRDefault="00D64D14">
            <w:pPr>
              <w:keepNext/>
              <w:keepLines/>
              <w:spacing w:after="0" w:line="240" w:lineRule="auto"/>
              <w:jc w:val="right"/>
            </w:pPr>
            <w:r>
              <w:rPr>
                <w:sz w:val="18"/>
              </w:rPr>
              <w:t>40.582,18</w:t>
            </w:r>
          </w:p>
        </w:tc>
        <w:tc>
          <w:tcPr>
            <w:tcW w:w="700" w:type="dxa"/>
            <w:tcMar>
              <w:top w:w="0" w:type="dxa"/>
              <w:bottom w:w="0" w:type="dxa"/>
            </w:tcMar>
            <w:vAlign w:val="center"/>
          </w:tcPr>
          <w:p w:rsidR="0079377C" w:rsidRDefault="00D64D14">
            <w:pPr>
              <w:keepNext/>
              <w:keepLines/>
              <w:spacing w:after="0" w:line="240" w:lineRule="auto"/>
              <w:jc w:val="right"/>
            </w:pPr>
            <w:r>
              <w:rPr>
                <w:sz w:val="18"/>
              </w:rPr>
              <w:t>589,9</w:t>
            </w:r>
          </w:p>
        </w:tc>
      </w:tr>
    </w:tbl>
    <w:p w:rsidR="0079377C" w:rsidRDefault="0079377C">
      <w:pPr>
        <w:spacing w:after="0"/>
      </w:pPr>
    </w:p>
    <w:p w:rsidR="0079377C" w:rsidRDefault="00D64D14">
      <w:r>
        <w:t>Rashodi za nabavu proizvedene dugotrajne imovine bilježe veliko povećanje u odnosu na prethodnu godinu i to čak 489,9%. Za potrebe Javne ustanove nabavljena je samo perilica posuđa u iznosu od 911,04 eur, dok je ostala nabava vezana uz projekte EU i to pro</w:t>
      </w:r>
      <w:r>
        <w:t>jekt Biomimmicry računalna oprema vrijednosti 3.355,02 EUR, projekt BEE(A)WARE meteorološke stanice vrijednosti 13 867,02 eur, projekt SESE bicikl u iznosu od 809,10 EUR i projekt Mystical Danube sjedišta i stol vrijednosti 21.640,00 EUR.</w:t>
      </w:r>
    </w:p>
    <w:p w:rsidR="0079377C" w:rsidRDefault="0079377C"/>
    <w:p w:rsidR="0079377C" w:rsidRDefault="00D64D14">
      <w:pPr>
        <w:keepNext/>
        <w:spacing w:line="240" w:lineRule="auto"/>
        <w:jc w:val="center"/>
      </w:pPr>
      <w:r>
        <w:rPr>
          <w:sz w:val="28"/>
        </w:rPr>
        <w:t>Bilješka 24.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w:t>
            </w:r>
            <w:r>
              <w:rPr>
                <w:b/>
                <w:sz w:val="18"/>
              </w:rPr>
              <w:t>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MANJAK PRIHODA OD NEFINANCIJSKE IMOVINE (šifre 4-7)</w:t>
            </w:r>
          </w:p>
        </w:tc>
        <w:tc>
          <w:tcPr>
            <w:tcW w:w="700" w:type="dxa"/>
            <w:tcMar>
              <w:top w:w="0" w:type="dxa"/>
              <w:bottom w:w="0" w:type="dxa"/>
            </w:tcMar>
            <w:vAlign w:val="center"/>
          </w:tcPr>
          <w:p w:rsidR="0079377C" w:rsidRDefault="00D64D14">
            <w:pPr>
              <w:keepNext/>
              <w:keepLines/>
              <w:spacing w:after="0" w:line="240" w:lineRule="auto"/>
            </w:pPr>
            <w:r>
              <w:rPr>
                <w:sz w:val="18"/>
              </w:rPr>
              <w:t>Y002</w:t>
            </w:r>
          </w:p>
        </w:tc>
        <w:tc>
          <w:tcPr>
            <w:tcW w:w="1860" w:type="dxa"/>
            <w:tcMar>
              <w:top w:w="0" w:type="dxa"/>
              <w:bottom w:w="0" w:type="dxa"/>
            </w:tcMar>
            <w:vAlign w:val="center"/>
          </w:tcPr>
          <w:p w:rsidR="0079377C" w:rsidRDefault="00D64D14">
            <w:pPr>
              <w:keepNext/>
              <w:keepLines/>
              <w:spacing w:after="0" w:line="240" w:lineRule="auto"/>
              <w:jc w:val="right"/>
            </w:pPr>
            <w:r>
              <w:rPr>
                <w:sz w:val="18"/>
              </w:rPr>
              <w:t>6.879,00</w:t>
            </w:r>
          </w:p>
        </w:tc>
        <w:tc>
          <w:tcPr>
            <w:tcW w:w="1860" w:type="dxa"/>
            <w:tcMar>
              <w:top w:w="0" w:type="dxa"/>
              <w:bottom w:w="0" w:type="dxa"/>
            </w:tcMar>
            <w:vAlign w:val="center"/>
          </w:tcPr>
          <w:p w:rsidR="0079377C" w:rsidRDefault="00D64D14">
            <w:pPr>
              <w:keepNext/>
              <w:keepLines/>
              <w:spacing w:after="0" w:line="240" w:lineRule="auto"/>
              <w:jc w:val="right"/>
            </w:pPr>
            <w:r>
              <w:rPr>
                <w:sz w:val="18"/>
              </w:rPr>
              <w:t>40.582,18</w:t>
            </w:r>
          </w:p>
        </w:tc>
        <w:tc>
          <w:tcPr>
            <w:tcW w:w="700" w:type="dxa"/>
            <w:tcMar>
              <w:top w:w="0" w:type="dxa"/>
              <w:bottom w:w="0" w:type="dxa"/>
            </w:tcMar>
            <w:vAlign w:val="center"/>
          </w:tcPr>
          <w:p w:rsidR="0079377C" w:rsidRDefault="00D64D14">
            <w:pPr>
              <w:keepNext/>
              <w:keepLines/>
              <w:spacing w:after="0" w:line="240" w:lineRule="auto"/>
              <w:jc w:val="right"/>
            </w:pPr>
            <w:r>
              <w:rPr>
                <w:sz w:val="18"/>
              </w:rPr>
              <w:t>589,9</w:t>
            </w:r>
          </w:p>
        </w:tc>
      </w:tr>
    </w:tbl>
    <w:p w:rsidR="0079377C" w:rsidRDefault="0079377C">
      <w:pPr>
        <w:spacing w:after="0"/>
      </w:pPr>
    </w:p>
    <w:p w:rsidR="0079377C" w:rsidRDefault="00D64D14">
      <w:r>
        <w:t>Manjak prihoda od nefinancijske imovine veći je u odnosu na prethodnu godinu zbog veće nabave opreme.</w:t>
      </w:r>
    </w:p>
    <w:p w:rsidR="0079377C" w:rsidRDefault="0079377C"/>
    <w:p w:rsidR="0079377C" w:rsidRDefault="00D64D14">
      <w:pPr>
        <w:keepNext/>
        <w:spacing w:line="240" w:lineRule="auto"/>
        <w:jc w:val="center"/>
      </w:pPr>
      <w:r>
        <w:rPr>
          <w:sz w:val="28"/>
        </w:rPr>
        <w:t>Bilješka 25.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MANJAK PRIHODA I PRIMITAKA (šifre Y345-X678)</w:t>
            </w:r>
          </w:p>
        </w:tc>
        <w:tc>
          <w:tcPr>
            <w:tcW w:w="700" w:type="dxa"/>
            <w:tcMar>
              <w:top w:w="0" w:type="dxa"/>
              <w:bottom w:w="0" w:type="dxa"/>
            </w:tcMar>
            <w:vAlign w:val="center"/>
          </w:tcPr>
          <w:p w:rsidR="0079377C" w:rsidRDefault="00D64D14">
            <w:pPr>
              <w:keepNext/>
              <w:keepLines/>
              <w:spacing w:after="0" w:line="240" w:lineRule="auto"/>
            </w:pPr>
            <w:r>
              <w:rPr>
                <w:sz w:val="18"/>
              </w:rPr>
              <w:t>Y005</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194.627,89</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lastRenderedPageBreak/>
        <w:t xml:space="preserve">Manjak primitaka i izdataka u tekućem razdoblju iznosi 194.627,89 eur. Iz prethodne godine preneseni je višak prihoda poslovanja u iznosu od 283.379,55 EUR kojim će se pokriti manjak prihoda poslovanja tekuće godine, dok će se manjak prihoda nefinancijske </w:t>
      </w:r>
      <w:r>
        <w:t>imovine pokriti 2026.godine u skladu sa Odlukom o pokriću/raspodjeli rezultata.</w:t>
      </w:r>
    </w:p>
    <w:p w:rsidR="0079377C" w:rsidRDefault="0079377C"/>
    <w:p w:rsidR="0079377C" w:rsidRDefault="00D64D14">
      <w:pPr>
        <w:keepNext/>
        <w:spacing w:line="240" w:lineRule="auto"/>
        <w:jc w:val="center"/>
      </w:pPr>
      <w:r>
        <w:rPr>
          <w:sz w:val="28"/>
        </w:rPr>
        <w:t>Bilješka 26.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11</w:t>
            </w:r>
          </w:p>
        </w:tc>
        <w:tc>
          <w:tcPr>
            <w:tcW w:w="3180" w:type="dxa"/>
            <w:tcMar>
              <w:top w:w="0" w:type="dxa"/>
              <w:bottom w:w="0" w:type="dxa"/>
            </w:tcMar>
            <w:vAlign w:val="center"/>
          </w:tcPr>
          <w:p w:rsidR="0079377C" w:rsidRDefault="00D64D14">
            <w:pPr>
              <w:keepNext/>
              <w:keepLines/>
              <w:spacing w:after="0" w:line="240" w:lineRule="auto"/>
            </w:pPr>
            <w:r>
              <w:rPr>
                <w:sz w:val="18"/>
              </w:rPr>
              <w:t xml:space="preserve">Stanje </w:t>
            </w:r>
            <w:r>
              <w:rPr>
                <w:sz w:val="18"/>
              </w:rPr>
              <w:t>novčanih sredstava na kraju izvještajnog razdoblja (šifre 11P + '11-dugov.' - '11-potraž.')</w:t>
            </w:r>
          </w:p>
        </w:tc>
        <w:tc>
          <w:tcPr>
            <w:tcW w:w="700" w:type="dxa"/>
            <w:tcMar>
              <w:top w:w="0" w:type="dxa"/>
              <w:bottom w:w="0" w:type="dxa"/>
            </w:tcMar>
            <w:vAlign w:val="center"/>
          </w:tcPr>
          <w:p w:rsidR="0079377C" w:rsidRDefault="00D64D14">
            <w:pPr>
              <w:keepNext/>
              <w:keepLines/>
              <w:spacing w:after="0" w:line="240" w:lineRule="auto"/>
            </w:pPr>
            <w:r>
              <w:rPr>
                <w:sz w:val="18"/>
              </w:rPr>
              <w:t>11K</w:t>
            </w:r>
          </w:p>
        </w:tc>
        <w:tc>
          <w:tcPr>
            <w:tcW w:w="1860" w:type="dxa"/>
            <w:tcMar>
              <w:top w:w="0" w:type="dxa"/>
              <w:bottom w:w="0" w:type="dxa"/>
            </w:tcMar>
            <w:vAlign w:val="center"/>
          </w:tcPr>
          <w:p w:rsidR="0079377C" w:rsidRDefault="00D64D14">
            <w:pPr>
              <w:keepNext/>
              <w:keepLines/>
              <w:spacing w:after="0" w:line="240" w:lineRule="auto"/>
              <w:jc w:val="right"/>
            </w:pPr>
            <w:r>
              <w:rPr>
                <w:sz w:val="18"/>
              </w:rPr>
              <w:t>295.274,04</w:t>
            </w:r>
          </w:p>
        </w:tc>
        <w:tc>
          <w:tcPr>
            <w:tcW w:w="1860" w:type="dxa"/>
            <w:tcMar>
              <w:top w:w="0" w:type="dxa"/>
              <w:bottom w:w="0" w:type="dxa"/>
            </w:tcMar>
            <w:vAlign w:val="center"/>
          </w:tcPr>
          <w:p w:rsidR="0079377C" w:rsidRDefault="00D64D14">
            <w:pPr>
              <w:keepNext/>
              <w:keepLines/>
              <w:spacing w:after="0" w:line="240" w:lineRule="auto"/>
              <w:jc w:val="right"/>
            </w:pPr>
            <w:r>
              <w:rPr>
                <w:sz w:val="18"/>
              </w:rPr>
              <w:t>212.048,96</w:t>
            </w:r>
          </w:p>
        </w:tc>
        <w:tc>
          <w:tcPr>
            <w:tcW w:w="700" w:type="dxa"/>
            <w:tcMar>
              <w:top w:w="0" w:type="dxa"/>
              <w:bottom w:w="0" w:type="dxa"/>
            </w:tcMar>
            <w:vAlign w:val="center"/>
          </w:tcPr>
          <w:p w:rsidR="0079377C" w:rsidRDefault="00D64D14">
            <w:pPr>
              <w:keepNext/>
              <w:keepLines/>
              <w:spacing w:after="0" w:line="240" w:lineRule="auto"/>
              <w:jc w:val="right"/>
            </w:pPr>
            <w:r>
              <w:rPr>
                <w:sz w:val="18"/>
              </w:rPr>
              <w:t>71,8</w:t>
            </w:r>
          </w:p>
        </w:tc>
      </w:tr>
    </w:tbl>
    <w:p w:rsidR="0079377C" w:rsidRDefault="0079377C">
      <w:pPr>
        <w:spacing w:after="0"/>
      </w:pPr>
    </w:p>
    <w:p w:rsidR="0079377C" w:rsidRDefault="00D64D14">
      <w:r>
        <w:t>Stanje novčanih sredstava odnosi se na stanja na žiro računima otvorenim po projektima EU.  Sredstva sa glavnog računa prenesena su na objedinjeni račun Međimurske županije.</w:t>
      </w:r>
    </w:p>
    <w:p w:rsidR="0079377C" w:rsidRDefault="0079377C"/>
    <w:p w:rsidR="0079377C" w:rsidRDefault="00D64D14">
      <w:pPr>
        <w:keepNext/>
        <w:spacing w:line="240" w:lineRule="auto"/>
        <w:jc w:val="center"/>
      </w:pPr>
      <w:r>
        <w:rPr>
          <w:sz w:val="28"/>
        </w:rPr>
        <w:t>Bilješka 27.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rsidR="0079377C" w:rsidRDefault="00D64D14">
            <w:pPr>
              <w:keepNext/>
              <w:keepLines/>
              <w:spacing w:after="0" w:line="240" w:lineRule="auto"/>
            </w:pPr>
            <w:r>
              <w:rPr>
                <w:sz w:val="18"/>
              </w:rPr>
              <w:t>Z007</w:t>
            </w:r>
          </w:p>
        </w:tc>
        <w:tc>
          <w:tcPr>
            <w:tcW w:w="1860" w:type="dxa"/>
            <w:tcMar>
              <w:top w:w="0" w:type="dxa"/>
              <w:bottom w:w="0" w:type="dxa"/>
            </w:tcMar>
            <w:vAlign w:val="center"/>
          </w:tcPr>
          <w:p w:rsidR="0079377C" w:rsidRDefault="00D64D14">
            <w:pPr>
              <w:keepNext/>
              <w:keepLines/>
              <w:spacing w:after="0" w:line="240" w:lineRule="auto"/>
              <w:jc w:val="right"/>
            </w:pPr>
            <w:r>
              <w:rPr>
                <w:sz w:val="18"/>
              </w:rPr>
              <w:t>25,00</w:t>
            </w:r>
          </w:p>
        </w:tc>
        <w:tc>
          <w:tcPr>
            <w:tcW w:w="1860" w:type="dxa"/>
            <w:tcMar>
              <w:top w:w="0" w:type="dxa"/>
              <w:bottom w:w="0" w:type="dxa"/>
            </w:tcMar>
            <w:vAlign w:val="center"/>
          </w:tcPr>
          <w:p w:rsidR="0079377C" w:rsidRDefault="00D64D14">
            <w:pPr>
              <w:keepNext/>
              <w:keepLines/>
              <w:spacing w:after="0" w:line="240" w:lineRule="auto"/>
              <w:jc w:val="right"/>
            </w:pPr>
            <w:r>
              <w:rPr>
                <w:sz w:val="18"/>
              </w:rPr>
              <w:t>26,00</w:t>
            </w:r>
          </w:p>
        </w:tc>
        <w:tc>
          <w:tcPr>
            <w:tcW w:w="700" w:type="dxa"/>
            <w:tcMar>
              <w:top w:w="0" w:type="dxa"/>
              <w:bottom w:w="0" w:type="dxa"/>
            </w:tcMar>
            <w:vAlign w:val="center"/>
          </w:tcPr>
          <w:p w:rsidR="0079377C" w:rsidRDefault="00D64D14">
            <w:pPr>
              <w:keepNext/>
              <w:keepLines/>
              <w:spacing w:after="0" w:line="240" w:lineRule="auto"/>
              <w:jc w:val="right"/>
            </w:pPr>
            <w:r>
              <w:rPr>
                <w:sz w:val="18"/>
              </w:rPr>
              <w:t>104,0</w:t>
            </w:r>
          </w:p>
        </w:tc>
      </w:tr>
    </w:tbl>
    <w:p w:rsidR="0079377C" w:rsidRDefault="0079377C">
      <w:pPr>
        <w:spacing w:after="0"/>
      </w:pPr>
    </w:p>
    <w:p w:rsidR="0079377C" w:rsidRDefault="00D64D14">
      <w:r>
        <w:t>Povećan je broj zaposlenih ,ali je broj sati prema odrađenim satima manji za dva djelatnika, jer su dvije djelatnice na porodiljnom dopustu.</w:t>
      </w:r>
    </w:p>
    <w:p w:rsidR="0079377C" w:rsidRDefault="0079377C"/>
    <w:p w:rsidR="0079377C" w:rsidRDefault="00D64D14">
      <w:pPr>
        <w:keepNext/>
        <w:spacing w:line="240" w:lineRule="auto"/>
        <w:jc w:val="center"/>
      </w:pPr>
      <w:r>
        <w:rPr>
          <w:b/>
          <w:sz w:val="28"/>
        </w:rPr>
        <w:t>Bilanca</w:t>
      </w:r>
    </w:p>
    <w:p w:rsidR="0079377C" w:rsidRDefault="00D64D14">
      <w:pPr>
        <w:keepNext/>
        <w:spacing w:line="240" w:lineRule="auto"/>
        <w:jc w:val="center"/>
      </w:pPr>
      <w:r>
        <w:rPr>
          <w:sz w:val="28"/>
        </w:rPr>
        <w:t>Bilješka 28.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01</w:t>
            </w:r>
          </w:p>
        </w:tc>
        <w:tc>
          <w:tcPr>
            <w:tcW w:w="3180" w:type="dxa"/>
            <w:tcMar>
              <w:top w:w="0" w:type="dxa"/>
              <w:bottom w:w="0" w:type="dxa"/>
            </w:tcMar>
            <w:vAlign w:val="center"/>
          </w:tcPr>
          <w:p w:rsidR="0079377C" w:rsidRDefault="00D64D14">
            <w:pPr>
              <w:keepNext/>
              <w:keepLines/>
              <w:spacing w:after="0" w:line="240" w:lineRule="auto"/>
            </w:pPr>
            <w:r>
              <w:rPr>
                <w:sz w:val="18"/>
              </w:rPr>
              <w:t>Neproizvedena dugotrajna imovina (šifre 011+012-019)</w:t>
            </w:r>
          </w:p>
        </w:tc>
        <w:tc>
          <w:tcPr>
            <w:tcW w:w="700" w:type="dxa"/>
            <w:tcMar>
              <w:top w:w="0" w:type="dxa"/>
              <w:bottom w:w="0" w:type="dxa"/>
            </w:tcMar>
            <w:vAlign w:val="center"/>
          </w:tcPr>
          <w:p w:rsidR="0079377C" w:rsidRDefault="00D64D14">
            <w:pPr>
              <w:keepNext/>
              <w:keepLines/>
              <w:spacing w:after="0" w:line="240" w:lineRule="auto"/>
            </w:pPr>
            <w:r>
              <w:rPr>
                <w:sz w:val="18"/>
              </w:rPr>
              <w:t>01</w:t>
            </w:r>
          </w:p>
        </w:tc>
        <w:tc>
          <w:tcPr>
            <w:tcW w:w="1860" w:type="dxa"/>
            <w:tcMar>
              <w:top w:w="0" w:type="dxa"/>
              <w:bottom w:w="0" w:type="dxa"/>
            </w:tcMar>
            <w:vAlign w:val="center"/>
          </w:tcPr>
          <w:p w:rsidR="0079377C" w:rsidRDefault="00D64D14">
            <w:pPr>
              <w:keepNext/>
              <w:keepLines/>
              <w:spacing w:after="0" w:line="240" w:lineRule="auto"/>
              <w:jc w:val="right"/>
            </w:pPr>
            <w:r>
              <w:rPr>
                <w:sz w:val="18"/>
              </w:rPr>
              <w:t>0,04</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700" w:type="dxa"/>
            <w:tcMar>
              <w:top w:w="0" w:type="dxa"/>
              <w:bottom w:w="0" w:type="dxa"/>
            </w:tcMar>
            <w:vAlign w:val="center"/>
          </w:tcPr>
          <w:p w:rsidR="0079377C" w:rsidRDefault="00D64D14">
            <w:pPr>
              <w:keepNext/>
              <w:keepLines/>
              <w:spacing w:after="0" w:line="240" w:lineRule="auto"/>
              <w:jc w:val="right"/>
            </w:pPr>
            <w:r>
              <w:rPr>
                <w:sz w:val="18"/>
              </w:rPr>
              <w:t>0</w:t>
            </w:r>
          </w:p>
        </w:tc>
      </w:tr>
    </w:tbl>
    <w:p w:rsidR="0079377C" w:rsidRDefault="0079377C">
      <w:pPr>
        <w:spacing w:after="0"/>
      </w:pPr>
    </w:p>
    <w:p w:rsidR="0079377C" w:rsidRDefault="00D64D14">
      <w:r>
        <w:t>Neproizvedena dugotrajna imovina ima vrijednost 0 jer je ispravak vrijednosti jednak nabavnoj vrijednosti.</w:t>
      </w:r>
    </w:p>
    <w:p w:rsidR="0079377C" w:rsidRDefault="0079377C"/>
    <w:p w:rsidR="0079377C" w:rsidRDefault="00D64D14">
      <w:pPr>
        <w:keepNext/>
        <w:spacing w:line="240" w:lineRule="auto"/>
        <w:jc w:val="center"/>
      </w:pPr>
      <w:r>
        <w:rPr>
          <w:sz w:val="28"/>
        </w:rPr>
        <w:lastRenderedPageBreak/>
        <w:t>Bilješka 29.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02</w:t>
            </w:r>
          </w:p>
        </w:tc>
        <w:tc>
          <w:tcPr>
            <w:tcW w:w="3180" w:type="dxa"/>
            <w:tcMar>
              <w:top w:w="0" w:type="dxa"/>
              <w:bottom w:w="0" w:type="dxa"/>
            </w:tcMar>
            <w:vAlign w:val="center"/>
          </w:tcPr>
          <w:p w:rsidR="0079377C" w:rsidRDefault="00D64D14">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79377C" w:rsidRDefault="00D64D14">
            <w:pPr>
              <w:keepNext/>
              <w:keepLines/>
              <w:spacing w:after="0" w:line="240" w:lineRule="auto"/>
            </w:pPr>
            <w:r>
              <w:rPr>
                <w:sz w:val="18"/>
              </w:rPr>
              <w:t>02</w:t>
            </w:r>
          </w:p>
        </w:tc>
        <w:tc>
          <w:tcPr>
            <w:tcW w:w="1860" w:type="dxa"/>
            <w:tcMar>
              <w:top w:w="0" w:type="dxa"/>
              <w:bottom w:w="0" w:type="dxa"/>
            </w:tcMar>
            <w:vAlign w:val="center"/>
          </w:tcPr>
          <w:p w:rsidR="0079377C" w:rsidRDefault="00D64D14">
            <w:pPr>
              <w:keepNext/>
              <w:keepLines/>
              <w:spacing w:after="0" w:line="240" w:lineRule="auto"/>
              <w:jc w:val="right"/>
            </w:pPr>
            <w:r>
              <w:rPr>
                <w:sz w:val="18"/>
              </w:rPr>
              <w:t>45.790,42</w:t>
            </w:r>
          </w:p>
        </w:tc>
        <w:tc>
          <w:tcPr>
            <w:tcW w:w="1860" w:type="dxa"/>
            <w:tcMar>
              <w:top w:w="0" w:type="dxa"/>
              <w:bottom w:w="0" w:type="dxa"/>
            </w:tcMar>
            <w:vAlign w:val="center"/>
          </w:tcPr>
          <w:p w:rsidR="0079377C" w:rsidRDefault="00D64D14">
            <w:pPr>
              <w:keepNext/>
              <w:keepLines/>
              <w:spacing w:after="0" w:line="240" w:lineRule="auto"/>
              <w:jc w:val="right"/>
            </w:pPr>
            <w:r>
              <w:rPr>
                <w:sz w:val="18"/>
              </w:rPr>
              <w:t>61.852,25</w:t>
            </w:r>
          </w:p>
        </w:tc>
        <w:tc>
          <w:tcPr>
            <w:tcW w:w="700" w:type="dxa"/>
            <w:tcMar>
              <w:top w:w="0" w:type="dxa"/>
              <w:bottom w:w="0" w:type="dxa"/>
            </w:tcMar>
            <w:vAlign w:val="center"/>
          </w:tcPr>
          <w:p w:rsidR="0079377C" w:rsidRDefault="00D64D14">
            <w:pPr>
              <w:keepNext/>
              <w:keepLines/>
              <w:spacing w:after="0" w:line="240" w:lineRule="auto"/>
              <w:jc w:val="right"/>
            </w:pPr>
            <w:r>
              <w:rPr>
                <w:sz w:val="18"/>
              </w:rPr>
              <w:t>135,1</w:t>
            </w:r>
          </w:p>
        </w:tc>
      </w:tr>
    </w:tbl>
    <w:p w:rsidR="0079377C" w:rsidRDefault="0079377C">
      <w:pPr>
        <w:spacing w:after="0"/>
      </w:pPr>
    </w:p>
    <w:p w:rsidR="0079377C" w:rsidRDefault="00D64D14">
      <w:r>
        <w:t>Proizvedena dugotrajna imovina smanjena je za ispravak vrijednosti koji se vrši linearno, prema stopama propisanim Pravilnikom. Povećana je za novu nabavu dugotrajne imovine koja ukupno iznosi 40.582,18 eur. Nabavljena je računalna oprema,  meteorološke st</w:t>
      </w:r>
      <w:r>
        <w:t>anice, bicikl i sjedišta i stolice u parkovima po projektu Mystical Danube.</w:t>
      </w:r>
    </w:p>
    <w:p w:rsidR="0079377C" w:rsidRDefault="0079377C"/>
    <w:p w:rsidR="0079377C" w:rsidRDefault="00D64D14">
      <w:pPr>
        <w:keepNext/>
        <w:spacing w:line="240" w:lineRule="auto"/>
        <w:jc w:val="center"/>
      </w:pPr>
      <w:r>
        <w:rPr>
          <w:sz w:val="28"/>
        </w:rPr>
        <w:t>Bilješka 30.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1112</w:t>
            </w:r>
          </w:p>
        </w:tc>
        <w:tc>
          <w:tcPr>
            <w:tcW w:w="3180" w:type="dxa"/>
            <w:tcMar>
              <w:top w:w="0" w:type="dxa"/>
              <w:bottom w:w="0" w:type="dxa"/>
            </w:tcMar>
            <w:vAlign w:val="center"/>
          </w:tcPr>
          <w:p w:rsidR="0079377C" w:rsidRDefault="00D64D14">
            <w:pPr>
              <w:keepNext/>
              <w:keepLines/>
              <w:spacing w:after="0" w:line="240" w:lineRule="auto"/>
            </w:pPr>
            <w:r>
              <w:rPr>
                <w:sz w:val="18"/>
              </w:rPr>
              <w:t>Novac na računu kod tuzemnih poslovnih banaka</w:t>
            </w:r>
          </w:p>
        </w:tc>
        <w:tc>
          <w:tcPr>
            <w:tcW w:w="700" w:type="dxa"/>
            <w:tcMar>
              <w:top w:w="0" w:type="dxa"/>
              <w:bottom w:w="0" w:type="dxa"/>
            </w:tcMar>
            <w:vAlign w:val="center"/>
          </w:tcPr>
          <w:p w:rsidR="0079377C" w:rsidRDefault="00D64D14">
            <w:pPr>
              <w:keepNext/>
              <w:keepLines/>
              <w:spacing w:after="0" w:line="240" w:lineRule="auto"/>
            </w:pPr>
            <w:r>
              <w:rPr>
                <w:sz w:val="18"/>
              </w:rPr>
              <w:t>1112</w:t>
            </w:r>
          </w:p>
        </w:tc>
        <w:tc>
          <w:tcPr>
            <w:tcW w:w="1860" w:type="dxa"/>
            <w:tcMar>
              <w:top w:w="0" w:type="dxa"/>
              <w:bottom w:w="0" w:type="dxa"/>
            </w:tcMar>
            <w:vAlign w:val="center"/>
          </w:tcPr>
          <w:p w:rsidR="0079377C" w:rsidRDefault="00D64D14">
            <w:pPr>
              <w:keepNext/>
              <w:keepLines/>
              <w:spacing w:after="0" w:line="240" w:lineRule="auto"/>
              <w:jc w:val="right"/>
            </w:pPr>
            <w:r>
              <w:rPr>
                <w:sz w:val="18"/>
              </w:rPr>
              <w:t>295.274,04</w:t>
            </w:r>
          </w:p>
        </w:tc>
        <w:tc>
          <w:tcPr>
            <w:tcW w:w="1860" w:type="dxa"/>
            <w:tcMar>
              <w:top w:w="0" w:type="dxa"/>
              <w:bottom w:w="0" w:type="dxa"/>
            </w:tcMar>
            <w:vAlign w:val="center"/>
          </w:tcPr>
          <w:p w:rsidR="0079377C" w:rsidRDefault="00D64D14">
            <w:pPr>
              <w:keepNext/>
              <w:keepLines/>
              <w:spacing w:after="0" w:line="240" w:lineRule="auto"/>
              <w:jc w:val="right"/>
            </w:pPr>
            <w:r>
              <w:rPr>
                <w:sz w:val="18"/>
              </w:rPr>
              <w:t>212.048,96</w:t>
            </w:r>
          </w:p>
        </w:tc>
        <w:tc>
          <w:tcPr>
            <w:tcW w:w="700" w:type="dxa"/>
            <w:tcMar>
              <w:top w:w="0" w:type="dxa"/>
              <w:bottom w:w="0" w:type="dxa"/>
            </w:tcMar>
            <w:vAlign w:val="center"/>
          </w:tcPr>
          <w:p w:rsidR="0079377C" w:rsidRDefault="00D64D14">
            <w:pPr>
              <w:keepNext/>
              <w:keepLines/>
              <w:spacing w:after="0" w:line="240" w:lineRule="auto"/>
              <w:jc w:val="right"/>
            </w:pPr>
            <w:r>
              <w:rPr>
                <w:sz w:val="18"/>
              </w:rPr>
              <w:t>71,8</w:t>
            </w:r>
          </w:p>
        </w:tc>
      </w:tr>
    </w:tbl>
    <w:p w:rsidR="0079377C" w:rsidRDefault="0079377C">
      <w:pPr>
        <w:spacing w:after="0"/>
      </w:pPr>
    </w:p>
    <w:p w:rsidR="0079377C" w:rsidRDefault="00D64D14">
      <w:r>
        <w:t>Financijska imovina odnosi se na novčana sredstva kod tuzemnih banaka. To su sredstva primljena na posebne račune po ispostavljenim zahtjevima za nadoknadu utrošenih sredstava po projektima EU.</w:t>
      </w:r>
    </w:p>
    <w:p w:rsidR="0079377C" w:rsidRDefault="0079377C"/>
    <w:p w:rsidR="0079377C" w:rsidRDefault="00D64D14">
      <w:pPr>
        <w:keepNext/>
        <w:spacing w:line="240" w:lineRule="auto"/>
        <w:jc w:val="center"/>
      </w:pPr>
      <w:r>
        <w:rPr>
          <w:sz w:val="28"/>
        </w:rPr>
        <w:t>Bilješka 31.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129</w:t>
            </w:r>
          </w:p>
        </w:tc>
        <w:tc>
          <w:tcPr>
            <w:tcW w:w="3180" w:type="dxa"/>
            <w:tcMar>
              <w:top w:w="0" w:type="dxa"/>
              <w:bottom w:w="0" w:type="dxa"/>
            </w:tcMar>
            <w:vAlign w:val="center"/>
          </w:tcPr>
          <w:p w:rsidR="0079377C" w:rsidRDefault="00D64D14">
            <w:pPr>
              <w:keepNext/>
              <w:keepLines/>
              <w:spacing w:after="0" w:line="240" w:lineRule="auto"/>
            </w:pPr>
            <w:r>
              <w:rPr>
                <w:sz w:val="18"/>
              </w:rPr>
              <w:t>Ostala potraživanja</w:t>
            </w:r>
          </w:p>
        </w:tc>
        <w:tc>
          <w:tcPr>
            <w:tcW w:w="700" w:type="dxa"/>
            <w:tcMar>
              <w:top w:w="0" w:type="dxa"/>
              <w:bottom w:w="0" w:type="dxa"/>
            </w:tcMar>
            <w:vAlign w:val="center"/>
          </w:tcPr>
          <w:p w:rsidR="0079377C" w:rsidRDefault="00D64D14">
            <w:pPr>
              <w:keepNext/>
              <w:keepLines/>
              <w:spacing w:after="0" w:line="240" w:lineRule="auto"/>
            </w:pPr>
            <w:r>
              <w:rPr>
                <w:sz w:val="18"/>
              </w:rPr>
              <w:t>129</w:t>
            </w:r>
          </w:p>
        </w:tc>
        <w:tc>
          <w:tcPr>
            <w:tcW w:w="1860" w:type="dxa"/>
            <w:tcMar>
              <w:top w:w="0" w:type="dxa"/>
              <w:bottom w:w="0" w:type="dxa"/>
            </w:tcMar>
            <w:vAlign w:val="center"/>
          </w:tcPr>
          <w:p w:rsidR="0079377C" w:rsidRDefault="00D64D14">
            <w:pPr>
              <w:keepNext/>
              <w:keepLines/>
              <w:spacing w:after="0" w:line="240" w:lineRule="auto"/>
              <w:jc w:val="right"/>
            </w:pPr>
            <w:r>
              <w:rPr>
                <w:sz w:val="18"/>
              </w:rPr>
              <w:t>2.168,30</w:t>
            </w:r>
          </w:p>
        </w:tc>
        <w:tc>
          <w:tcPr>
            <w:tcW w:w="1860" w:type="dxa"/>
            <w:tcMar>
              <w:top w:w="0" w:type="dxa"/>
              <w:bottom w:w="0" w:type="dxa"/>
            </w:tcMar>
            <w:vAlign w:val="center"/>
          </w:tcPr>
          <w:p w:rsidR="0079377C" w:rsidRDefault="00D64D14">
            <w:pPr>
              <w:keepNext/>
              <w:keepLines/>
              <w:spacing w:after="0" w:line="240" w:lineRule="auto"/>
              <w:jc w:val="right"/>
            </w:pPr>
            <w:r>
              <w:rPr>
                <w:sz w:val="18"/>
              </w:rPr>
              <w:t>3.453,98</w:t>
            </w:r>
          </w:p>
        </w:tc>
        <w:tc>
          <w:tcPr>
            <w:tcW w:w="700" w:type="dxa"/>
            <w:tcMar>
              <w:top w:w="0" w:type="dxa"/>
              <w:bottom w:w="0" w:type="dxa"/>
            </w:tcMar>
            <w:vAlign w:val="center"/>
          </w:tcPr>
          <w:p w:rsidR="0079377C" w:rsidRDefault="00D64D14">
            <w:pPr>
              <w:keepNext/>
              <w:keepLines/>
              <w:spacing w:after="0" w:line="240" w:lineRule="auto"/>
              <w:jc w:val="right"/>
            </w:pPr>
            <w:r>
              <w:rPr>
                <w:sz w:val="18"/>
              </w:rPr>
              <w:t>159,3</w:t>
            </w:r>
          </w:p>
        </w:tc>
      </w:tr>
    </w:tbl>
    <w:p w:rsidR="0079377C" w:rsidRDefault="0079377C">
      <w:pPr>
        <w:spacing w:after="0"/>
      </w:pPr>
    </w:p>
    <w:p w:rsidR="0079377C" w:rsidRDefault="00D64D14">
      <w:r>
        <w:t>Ova potraživanja odnose se na potraživanja za naknadu bolovanja na teret Hrvatskog zavoda za zdravstveno osiguranje.</w:t>
      </w:r>
    </w:p>
    <w:p w:rsidR="0079377C" w:rsidRDefault="0079377C"/>
    <w:p w:rsidR="0079377C" w:rsidRDefault="00D64D14">
      <w:pPr>
        <w:keepNext/>
        <w:spacing w:line="240" w:lineRule="auto"/>
        <w:jc w:val="center"/>
      </w:pPr>
      <w:r>
        <w:rPr>
          <w:sz w:val="28"/>
        </w:rPr>
        <w:t>Bilješka 32.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1632</w:t>
            </w:r>
          </w:p>
        </w:tc>
        <w:tc>
          <w:tcPr>
            <w:tcW w:w="3180" w:type="dxa"/>
            <w:tcMar>
              <w:top w:w="0" w:type="dxa"/>
              <w:bottom w:w="0" w:type="dxa"/>
            </w:tcMar>
            <w:vAlign w:val="center"/>
          </w:tcPr>
          <w:p w:rsidR="0079377C" w:rsidRDefault="00D64D14">
            <w:pPr>
              <w:keepNext/>
              <w:keepLines/>
              <w:spacing w:after="0" w:line="240" w:lineRule="auto"/>
            </w:pPr>
            <w:r>
              <w:rPr>
                <w:sz w:val="18"/>
              </w:rPr>
              <w:t>Potraživanja za pomoći od međunarodnih organizacija te institucija i tijela EU</w:t>
            </w:r>
          </w:p>
        </w:tc>
        <w:tc>
          <w:tcPr>
            <w:tcW w:w="700" w:type="dxa"/>
            <w:tcMar>
              <w:top w:w="0" w:type="dxa"/>
              <w:bottom w:w="0" w:type="dxa"/>
            </w:tcMar>
            <w:vAlign w:val="center"/>
          </w:tcPr>
          <w:p w:rsidR="0079377C" w:rsidRDefault="00D64D14">
            <w:pPr>
              <w:keepNext/>
              <w:keepLines/>
              <w:spacing w:after="0" w:line="240" w:lineRule="auto"/>
            </w:pPr>
            <w:r>
              <w:rPr>
                <w:sz w:val="18"/>
              </w:rPr>
              <w:t>1632</w:t>
            </w:r>
          </w:p>
        </w:tc>
        <w:tc>
          <w:tcPr>
            <w:tcW w:w="1860" w:type="dxa"/>
            <w:tcMar>
              <w:top w:w="0" w:type="dxa"/>
              <w:bottom w:w="0" w:type="dxa"/>
            </w:tcMar>
            <w:vAlign w:val="center"/>
          </w:tcPr>
          <w:p w:rsidR="0079377C" w:rsidRDefault="00D64D14">
            <w:pPr>
              <w:keepNext/>
              <w:keepLines/>
              <w:spacing w:after="0" w:line="240" w:lineRule="auto"/>
              <w:jc w:val="right"/>
            </w:pPr>
            <w:r>
              <w:rPr>
                <w:sz w:val="18"/>
              </w:rPr>
              <w:t>145.323,82</w:t>
            </w:r>
          </w:p>
        </w:tc>
        <w:tc>
          <w:tcPr>
            <w:tcW w:w="1860" w:type="dxa"/>
            <w:tcMar>
              <w:top w:w="0" w:type="dxa"/>
              <w:bottom w:w="0" w:type="dxa"/>
            </w:tcMar>
            <w:vAlign w:val="center"/>
          </w:tcPr>
          <w:p w:rsidR="0079377C" w:rsidRDefault="00D64D14">
            <w:pPr>
              <w:keepNext/>
              <w:keepLines/>
              <w:spacing w:after="0" w:line="240" w:lineRule="auto"/>
              <w:jc w:val="right"/>
            </w:pPr>
            <w:r>
              <w:rPr>
                <w:sz w:val="18"/>
              </w:rPr>
              <w:t>239.045,54</w:t>
            </w:r>
          </w:p>
        </w:tc>
        <w:tc>
          <w:tcPr>
            <w:tcW w:w="700" w:type="dxa"/>
            <w:tcMar>
              <w:top w:w="0" w:type="dxa"/>
              <w:bottom w:w="0" w:type="dxa"/>
            </w:tcMar>
            <w:vAlign w:val="center"/>
          </w:tcPr>
          <w:p w:rsidR="0079377C" w:rsidRDefault="00D64D14">
            <w:pPr>
              <w:keepNext/>
              <w:keepLines/>
              <w:spacing w:after="0" w:line="240" w:lineRule="auto"/>
              <w:jc w:val="right"/>
            </w:pPr>
            <w:r>
              <w:rPr>
                <w:sz w:val="18"/>
              </w:rPr>
              <w:t>164,5</w:t>
            </w:r>
          </w:p>
        </w:tc>
      </w:tr>
    </w:tbl>
    <w:p w:rsidR="0079377C" w:rsidRDefault="0079377C">
      <w:pPr>
        <w:spacing w:after="0"/>
      </w:pPr>
    </w:p>
    <w:p w:rsidR="0079377C" w:rsidRDefault="00D64D14">
      <w:r>
        <w:lastRenderedPageBreak/>
        <w:t>Ova potraživanja čine poslani zahtjevi za nadoknadom sredstava EU i to po projektima BEE(A)WARE, DECO, Express, FBI4EU,Harmonmmisions, Odziv, Primes i Sharing. Veća su u odnosu na prošlu godinu.</w:t>
      </w:r>
    </w:p>
    <w:p w:rsidR="0079377C" w:rsidRDefault="0079377C"/>
    <w:p w:rsidR="0079377C" w:rsidRDefault="00D64D14">
      <w:pPr>
        <w:keepNext/>
        <w:spacing w:line="240" w:lineRule="auto"/>
        <w:jc w:val="center"/>
      </w:pPr>
      <w:r>
        <w:rPr>
          <w:sz w:val="28"/>
        </w:rPr>
        <w:t>Bilješka 33.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w:t>
            </w:r>
            <w:r>
              <w:rPr>
                <w:b/>
                <w:sz w:val="18"/>
              </w:rPr>
              <w:t xml:space="preserve">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1638</w:t>
            </w:r>
          </w:p>
        </w:tc>
        <w:tc>
          <w:tcPr>
            <w:tcW w:w="3180" w:type="dxa"/>
            <w:tcMar>
              <w:top w:w="0" w:type="dxa"/>
              <w:bottom w:w="0" w:type="dxa"/>
            </w:tcMar>
            <w:vAlign w:val="center"/>
          </w:tcPr>
          <w:p w:rsidR="0079377C" w:rsidRDefault="00D64D14">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79377C" w:rsidRDefault="00D64D14">
            <w:pPr>
              <w:keepNext/>
              <w:keepLines/>
              <w:spacing w:after="0" w:line="240" w:lineRule="auto"/>
            </w:pPr>
            <w:r>
              <w:rPr>
                <w:sz w:val="18"/>
              </w:rPr>
              <w:t>1638</w:t>
            </w:r>
          </w:p>
        </w:tc>
        <w:tc>
          <w:tcPr>
            <w:tcW w:w="1860" w:type="dxa"/>
            <w:tcMar>
              <w:top w:w="0" w:type="dxa"/>
              <w:bottom w:w="0" w:type="dxa"/>
            </w:tcMar>
            <w:vAlign w:val="center"/>
          </w:tcPr>
          <w:p w:rsidR="0079377C" w:rsidRDefault="00D64D14">
            <w:pPr>
              <w:keepNext/>
              <w:keepLines/>
              <w:spacing w:after="0" w:line="240" w:lineRule="auto"/>
              <w:jc w:val="right"/>
            </w:pPr>
            <w:r>
              <w:rPr>
                <w:sz w:val="18"/>
              </w:rPr>
              <w:t>357.391,80</w:t>
            </w:r>
          </w:p>
        </w:tc>
        <w:tc>
          <w:tcPr>
            <w:tcW w:w="1860" w:type="dxa"/>
            <w:tcMar>
              <w:top w:w="0" w:type="dxa"/>
              <w:bottom w:w="0" w:type="dxa"/>
            </w:tcMar>
            <w:vAlign w:val="center"/>
          </w:tcPr>
          <w:p w:rsidR="0079377C" w:rsidRDefault="00D64D14">
            <w:pPr>
              <w:keepNext/>
              <w:keepLines/>
              <w:spacing w:after="0" w:line="240" w:lineRule="auto"/>
              <w:jc w:val="right"/>
            </w:pPr>
            <w:r>
              <w:rPr>
                <w:sz w:val="18"/>
              </w:rPr>
              <w:t>90.829,16</w:t>
            </w:r>
          </w:p>
        </w:tc>
        <w:tc>
          <w:tcPr>
            <w:tcW w:w="700" w:type="dxa"/>
            <w:tcMar>
              <w:top w:w="0" w:type="dxa"/>
              <w:bottom w:w="0" w:type="dxa"/>
            </w:tcMar>
            <w:vAlign w:val="center"/>
          </w:tcPr>
          <w:p w:rsidR="0079377C" w:rsidRDefault="00D64D14">
            <w:pPr>
              <w:keepNext/>
              <w:keepLines/>
              <w:spacing w:after="0" w:line="240" w:lineRule="auto"/>
              <w:jc w:val="right"/>
            </w:pPr>
            <w:r>
              <w:rPr>
                <w:sz w:val="18"/>
              </w:rPr>
              <w:t>25,4</w:t>
            </w:r>
          </w:p>
        </w:tc>
      </w:tr>
    </w:tbl>
    <w:p w:rsidR="0079377C" w:rsidRDefault="0079377C">
      <w:pPr>
        <w:spacing w:after="0"/>
      </w:pPr>
    </w:p>
    <w:p w:rsidR="0079377C" w:rsidRDefault="00D64D14">
      <w:r>
        <w:t xml:space="preserve">Ova potraživanja čine predani zahtjevi za nadoknadu sredstava po projektima EU i to Iteo2, Centar za kulturu Nedelišće, Blight 2 i Mystical Danube. Manja su u odnosu na prethodnu godinu za 74,6% i to zato jer je prethodne godine na tom kontu bio knjižen i </w:t>
      </w:r>
      <w:r>
        <w:t>zahtjev  za Tehničku pomoć koja je završila 2025.</w:t>
      </w:r>
    </w:p>
    <w:p w:rsidR="0079377C" w:rsidRDefault="00D64D14">
      <w:r>
        <w:t> </w:t>
      </w:r>
    </w:p>
    <w:p w:rsidR="0079377C" w:rsidRDefault="0079377C"/>
    <w:p w:rsidR="0079377C" w:rsidRDefault="00D64D14">
      <w:pPr>
        <w:keepNext/>
        <w:spacing w:line="240" w:lineRule="auto"/>
        <w:jc w:val="center"/>
      </w:pPr>
      <w:r>
        <w:rPr>
          <w:sz w:val="28"/>
        </w:rPr>
        <w:t>Bilješka 34.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191</w:t>
            </w:r>
          </w:p>
        </w:tc>
        <w:tc>
          <w:tcPr>
            <w:tcW w:w="3180" w:type="dxa"/>
            <w:tcMar>
              <w:top w:w="0" w:type="dxa"/>
              <w:bottom w:w="0" w:type="dxa"/>
            </w:tcMar>
            <w:vAlign w:val="center"/>
          </w:tcPr>
          <w:p w:rsidR="0079377C" w:rsidRDefault="00D64D14">
            <w:pPr>
              <w:keepNext/>
              <w:keepLines/>
              <w:spacing w:after="0" w:line="240" w:lineRule="auto"/>
            </w:pPr>
            <w:r>
              <w:rPr>
                <w:sz w:val="18"/>
              </w:rPr>
              <w:t>Rashodi budućih razdoblja</w:t>
            </w:r>
          </w:p>
        </w:tc>
        <w:tc>
          <w:tcPr>
            <w:tcW w:w="700" w:type="dxa"/>
            <w:tcMar>
              <w:top w:w="0" w:type="dxa"/>
              <w:bottom w:w="0" w:type="dxa"/>
            </w:tcMar>
            <w:vAlign w:val="center"/>
          </w:tcPr>
          <w:p w:rsidR="0079377C" w:rsidRDefault="00D64D14">
            <w:pPr>
              <w:keepNext/>
              <w:keepLines/>
              <w:spacing w:after="0" w:line="240" w:lineRule="auto"/>
            </w:pPr>
            <w:r>
              <w:rPr>
                <w:sz w:val="18"/>
              </w:rPr>
              <w:t>191</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454,88</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Rashodi budućeg razdoblja predstavljaju unaprijed plaćene rashode za osiguranje osobnih automobila.</w:t>
      </w:r>
    </w:p>
    <w:p w:rsidR="0079377C" w:rsidRDefault="0079377C"/>
    <w:p w:rsidR="0079377C" w:rsidRDefault="00D64D14">
      <w:pPr>
        <w:keepNext/>
        <w:spacing w:line="240" w:lineRule="auto"/>
        <w:jc w:val="center"/>
      </w:pPr>
      <w:r>
        <w:rPr>
          <w:sz w:val="28"/>
        </w:rPr>
        <w:t>Bilješka 35.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231</w:t>
            </w:r>
          </w:p>
        </w:tc>
        <w:tc>
          <w:tcPr>
            <w:tcW w:w="3180" w:type="dxa"/>
            <w:tcMar>
              <w:top w:w="0" w:type="dxa"/>
              <w:bottom w:w="0" w:type="dxa"/>
            </w:tcMar>
            <w:vAlign w:val="center"/>
          </w:tcPr>
          <w:p w:rsidR="0079377C" w:rsidRDefault="00D64D14">
            <w:pPr>
              <w:keepNext/>
              <w:keepLines/>
              <w:spacing w:after="0" w:line="240" w:lineRule="auto"/>
            </w:pPr>
            <w:r>
              <w:rPr>
                <w:sz w:val="18"/>
              </w:rPr>
              <w:t>Obveze za zaposlene</w:t>
            </w:r>
          </w:p>
        </w:tc>
        <w:tc>
          <w:tcPr>
            <w:tcW w:w="700" w:type="dxa"/>
            <w:tcMar>
              <w:top w:w="0" w:type="dxa"/>
              <w:bottom w:w="0" w:type="dxa"/>
            </w:tcMar>
            <w:vAlign w:val="center"/>
          </w:tcPr>
          <w:p w:rsidR="0079377C" w:rsidRDefault="00D64D14">
            <w:pPr>
              <w:keepNext/>
              <w:keepLines/>
              <w:spacing w:after="0" w:line="240" w:lineRule="auto"/>
            </w:pPr>
            <w:r>
              <w:rPr>
                <w:sz w:val="18"/>
              </w:rPr>
              <w:t>231</w:t>
            </w:r>
          </w:p>
        </w:tc>
        <w:tc>
          <w:tcPr>
            <w:tcW w:w="1860" w:type="dxa"/>
            <w:tcMar>
              <w:top w:w="0" w:type="dxa"/>
              <w:bottom w:w="0" w:type="dxa"/>
            </w:tcMar>
            <w:vAlign w:val="center"/>
          </w:tcPr>
          <w:p w:rsidR="0079377C" w:rsidRDefault="00D64D14">
            <w:pPr>
              <w:keepNext/>
              <w:keepLines/>
              <w:spacing w:after="0" w:line="240" w:lineRule="auto"/>
              <w:jc w:val="right"/>
            </w:pPr>
            <w:r>
              <w:rPr>
                <w:sz w:val="18"/>
              </w:rPr>
              <w:t>67.688,62</w:t>
            </w:r>
          </w:p>
        </w:tc>
        <w:tc>
          <w:tcPr>
            <w:tcW w:w="1860" w:type="dxa"/>
            <w:tcMar>
              <w:top w:w="0" w:type="dxa"/>
              <w:bottom w:w="0" w:type="dxa"/>
            </w:tcMar>
            <w:vAlign w:val="center"/>
          </w:tcPr>
          <w:p w:rsidR="0079377C" w:rsidRDefault="00D64D14">
            <w:pPr>
              <w:keepNext/>
              <w:keepLines/>
              <w:spacing w:after="0" w:line="240" w:lineRule="auto"/>
              <w:jc w:val="right"/>
            </w:pPr>
            <w:r>
              <w:rPr>
                <w:sz w:val="18"/>
              </w:rPr>
              <w:t>76.560,60</w:t>
            </w:r>
          </w:p>
        </w:tc>
        <w:tc>
          <w:tcPr>
            <w:tcW w:w="700" w:type="dxa"/>
            <w:tcMar>
              <w:top w:w="0" w:type="dxa"/>
              <w:bottom w:w="0" w:type="dxa"/>
            </w:tcMar>
            <w:vAlign w:val="center"/>
          </w:tcPr>
          <w:p w:rsidR="0079377C" w:rsidRDefault="00D64D14">
            <w:pPr>
              <w:keepNext/>
              <w:keepLines/>
              <w:spacing w:after="0" w:line="240" w:lineRule="auto"/>
              <w:jc w:val="right"/>
            </w:pPr>
            <w:r>
              <w:rPr>
                <w:sz w:val="18"/>
              </w:rPr>
              <w:t>113,1</w:t>
            </w:r>
          </w:p>
        </w:tc>
      </w:tr>
    </w:tbl>
    <w:p w:rsidR="0079377C" w:rsidRDefault="0079377C">
      <w:pPr>
        <w:spacing w:after="0"/>
      </w:pPr>
    </w:p>
    <w:p w:rsidR="0079377C" w:rsidRDefault="00D64D14">
      <w:r>
        <w:t>Obveze za zaposlena odnose se na obveze za plaću za 12.mjesec 2025 godine. Ove obveze podmirene su u siječnju 2026.</w:t>
      </w:r>
    </w:p>
    <w:p w:rsidR="0079377C" w:rsidRDefault="0079377C"/>
    <w:p w:rsidR="0079377C" w:rsidRDefault="00D64D14">
      <w:pPr>
        <w:keepNext/>
        <w:spacing w:line="240" w:lineRule="auto"/>
        <w:jc w:val="center"/>
      </w:pPr>
      <w:r>
        <w:rPr>
          <w:sz w:val="28"/>
        </w:rPr>
        <w:lastRenderedPageBreak/>
        <w:t>Bilješka 36.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239</w:t>
            </w:r>
          </w:p>
        </w:tc>
        <w:tc>
          <w:tcPr>
            <w:tcW w:w="3180" w:type="dxa"/>
            <w:tcMar>
              <w:top w:w="0" w:type="dxa"/>
              <w:bottom w:w="0" w:type="dxa"/>
            </w:tcMar>
            <w:vAlign w:val="center"/>
          </w:tcPr>
          <w:p w:rsidR="0079377C" w:rsidRDefault="00D64D14">
            <w:pPr>
              <w:keepNext/>
              <w:keepLines/>
              <w:spacing w:after="0" w:line="240" w:lineRule="auto"/>
            </w:pPr>
            <w:r>
              <w:rPr>
                <w:sz w:val="18"/>
              </w:rPr>
              <w:t>Ostale tekuće obveze</w:t>
            </w:r>
          </w:p>
        </w:tc>
        <w:tc>
          <w:tcPr>
            <w:tcW w:w="700" w:type="dxa"/>
            <w:tcMar>
              <w:top w:w="0" w:type="dxa"/>
              <w:bottom w:w="0" w:type="dxa"/>
            </w:tcMar>
            <w:vAlign w:val="center"/>
          </w:tcPr>
          <w:p w:rsidR="0079377C" w:rsidRDefault="00D64D14">
            <w:pPr>
              <w:keepNext/>
              <w:keepLines/>
              <w:spacing w:after="0" w:line="240" w:lineRule="auto"/>
            </w:pPr>
            <w:r>
              <w:rPr>
                <w:sz w:val="18"/>
              </w:rPr>
              <w:t>239</w:t>
            </w:r>
          </w:p>
        </w:tc>
        <w:tc>
          <w:tcPr>
            <w:tcW w:w="1860" w:type="dxa"/>
            <w:tcMar>
              <w:top w:w="0" w:type="dxa"/>
              <w:bottom w:w="0" w:type="dxa"/>
            </w:tcMar>
            <w:vAlign w:val="center"/>
          </w:tcPr>
          <w:p w:rsidR="0079377C" w:rsidRDefault="00D64D14">
            <w:pPr>
              <w:keepNext/>
              <w:keepLines/>
              <w:spacing w:after="0" w:line="240" w:lineRule="auto"/>
              <w:jc w:val="right"/>
            </w:pPr>
            <w:r>
              <w:rPr>
                <w:sz w:val="18"/>
              </w:rPr>
              <w:t>242.805,25</w:t>
            </w:r>
          </w:p>
        </w:tc>
        <w:tc>
          <w:tcPr>
            <w:tcW w:w="1860" w:type="dxa"/>
            <w:tcMar>
              <w:top w:w="0" w:type="dxa"/>
              <w:bottom w:w="0" w:type="dxa"/>
            </w:tcMar>
            <w:vAlign w:val="center"/>
          </w:tcPr>
          <w:p w:rsidR="0079377C" w:rsidRDefault="00D64D14">
            <w:pPr>
              <w:keepNext/>
              <w:keepLines/>
              <w:spacing w:after="0" w:line="240" w:lineRule="auto"/>
              <w:jc w:val="right"/>
            </w:pPr>
            <w:r>
              <w:rPr>
                <w:sz w:val="18"/>
              </w:rPr>
              <w:t>27.926,22</w:t>
            </w:r>
          </w:p>
        </w:tc>
        <w:tc>
          <w:tcPr>
            <w:tcW w:w="700" w:type="dxa"/>
            <w:tcMar>
              <w:top w:w="0" w:type="dxa"/>
              <w:bottom w:w="0" w:type="dxa"/>
            </w:tcMar>
            <w:vAlign w:val="center"/>
          </w:tcPr>
          <w:p w:rsidR="0079377C" w:rsidRDefault="00D64D14">
            <w:pPr>
              <w:keepNext/>
              <w:keepLines/>
              <w:spacing w:after="0" w:line="240" w:lineRule="auto"/>
              <w:jc w:val="right"/>
            </w:pPr>
            <w:r>
              <w:rPr>
                <w:sz w:val="18"/>
              </w:rPr>
              <w:t>11,5</w:t>
            </w:r>
          </w:p>
        </w:tc>
      </w:tr>
    </w:tbl>
    <w:p w:rsidR="0079377C" w:rsidRDefault="0079377C">
      <w:pPr>
        <w:spacing w:after="0"/>
      </w:pPr>
    </w:p>
    <w:p w:rsidR="0079377C" w:rsidRDefault="00D64D14">
      <w:r>
        <w:t>Ove obveze bilježe značajno smanjenje jer su podmirene obveze prema Županiji za predfinanciranje projekata EU iz 2024.godine i iste obveze iz 2025.</w:t>
      </w:r>
    </w:p>
    <w:p w:rsidR="0079377C" w:rsidRDefault="0079377C"/>
    <w:p w:rsidR="0079377C" w:rsidRDefault="00D64D14">
      <w:pPr>
        <w:keepNext/>
        <w:spacing w:line="240" w:lineRule="auto"/>
        <w:jc w:val="center"/>
      </w:pPr>
      <w:r>
        <w:rPr>
          <w:sz w:val="28"/>
        </w:rPr>
        <w:t>Bilješka 37.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242</w:t>
            </w:r>
          </w:p>
        </w:tc>
        <w:tc>
          <w:tcPr>
            <w:tcW w:w="3180" w:type="dxa"/>
            <w:tcMar>
              <w:top w:w="0" w:type="dxa"/>
              <w:bottom w:w="0" w:type="dxa"/>
            </w:tcMar>
            <w:vAlign w:val="center"/>
          </w:tcPr>
          <w:p w:rsidR="0079377C" w:rsidRDefault="00D64D14">
            <w:pPr>
              <w:keepNext/>
              <w:keepLines/>
              <w:spacing w:after="0" w:line="240" w:lineRule="auto"/>
            </w:pPr>
            <w:r>
              <w:rPr>
                <w:sz w:val="18"/>
              </w:rPr>
              <w:t>Obveze za nabavu proizvedene dugotrajne imovine</w:t>
            </w:r>
          </w:p>
        </w:tc>
        <w:tc>
          <w:tcPr>
            <w:tcW w:w="700" w:type="dxa"/>
            <w:tcMar>
              <w:top w:w="0" w:type="dxa"/>
              <w:bottom w:w="0" w:type="dxa"/>
            </w:tcMar>
            <w:vAlign w:val="center"/>
          </w:tcPr>
          <w:p w:rsidR="0079377C" w:rsidRDefault="00D64D14">
            <w:pPr>
              <w:keepNext/>
              <w:keepLines/>
              <w:spacing w:after="0" w:line="240" w:lineRule="auto"/>
            </w:pPr>
            <w:r>
              <w:rPr>
                <w:sz w:val="18"/>
              </w:rPr>
              <w:t>242</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1.266,06</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Obveze su bile nedospjele na dan 31.12.2025 i podmirene su u siječnju 2026.</w:t>
      </w:r>
    </w:p>
    <w:p w:rsidR="0079377C" w:rsidRDefault="0079377C"/>
    <w:p w:rsidR="0079377C" w:rsidRDefault="00D64D14">
      <w:pPr>
        <w:keepNext/>
        <w:spacing w:line="240" w:lineRule="auto"/>
        <w:jc w:val="center"/>
      </w:pPr>
      <w:r>
        <w:rPr>
          <w:sz w:val="28"/>
        </w:rPr>
        <w:t>Bilješka 38.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w:t>
            </w:r>
            <w:r>
              <w:rPr>
                <w:b/>
                <w:sz w:val="18"/>
              </w:rPr>
              <w:t xml:space="preserve">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27</w:t>
            </w:r>
          </w:p>
        </w:tc>
        <w:tc>
          <w:tcPr>
            <w:tcW w:w="3180" w:type="dxa"/>
            <w:tcMar>
              <w:top w:w="0" w:type="dxa"/>
              <w:bottom w:w="0" w:type="dxa"/>
            </w:tcMar>
            <w:vAlign w:val="center"/>
          </w:tcPr>
          <w:p w:rsidR="0079377C" w:rsidRDefault="00D64D14">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79377C" w:rsidRDefault="00D64D14">
            <w:pPr>
              <w:keepNext/>
              <w:keepLines/>
              <w:spacing w:after="0" w:line="240" w:lineRule="auto"/>
            </w:pPr>
            <w:r>
              <w:rPr>
                <w:sz w:val="18"/>
              </w:rPr>
              <w:t>27</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34.749,87</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Na ovom kontu knjižen je primljeni predujam za projekt Rehbus koji je započeo krajem 2025.</w:t>
      </w:r>
    </w:p>
    <w:p w:rsidR="0079377C" w:rsidRDefault="0079377C"/>
    <w:p w:rsidR="0079377C" w:rsidRDefault="00D64D14">
      <w:pPr>
        <w:keepNext/>
        <w:spacing w:line="240" w:lineRule="auto"/>
        <w:jc w:val="center"/>
      </w:pPr>
      <w:r>
        <w:rPr>
          <w:sz w:val="28"/>
        </w:rPr>
        <w:t>Bilješka 39.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911</w:t>
            </w:r>
          </w:p>
        </w:tc>
        <w:tc>
          <w:tcPr>
            <w:tcW w:w="3180" w:type="dxa"/>
            <w:tcMar>
              <w:top w:w="0" w:type="dxa"/>
              <w:bottom w:w="0" w:type="dxa"/>
            </w:tcMar>
            <w:vAlign w:val="center"/>
          </w:tcPr>
          <w:p w:rsidR="0079377C" w:rsidRDefault="00D64D14">
            <w:pPr>
              <w:keepNext/>
              <w:keepLines/>
              <w:spacing w:after="0" w:line="240" w:lineRule="auto"/>
            </w:pPr>
            <w:r>
              <w:rPr>
                <w:sz w:val="18"/>
              </w:rPr>
              <w:t>Vlastiti izvori</w:t>
            </w:r>
          </w:p>
        </w:tc>
        <w:tc>
          <w:tcPr>
            <w:tcW w:w="700" w:type="dxa"/>
            <w:tcMar>
              <w:top w:w="0" w:type="dxa"/>
              <w:bottom w:w="0" w:type="dxa"/>
            </w:tcMar>
            <w:vAlign w:val="center"/>
          </w:tcPr>
          <w:p w:rsidR="0079377C" w:rsidRDefault="00D64D14">
            <w:pPr>
              <w:keepNext/>
              <w:keepLines/>
              <w:spacing w:after="0" w:line="240" w:lineRule="auto"/>
            </w:pPr>
            <w:r>
              <w:rPr>
                <w:sz w:val="18"/>
              </w:rPr>
              <w:t>911</w:t>
            </w:r>
          </w:p>
        </w:tc>
        <w:tc>
          <w:tcPr>
            <w:tcW w:w="1860" w:type="dxa"/>
            <w:tcMar>
              <w:top w:w="0" w:type="dxa"/>
              <w:bottom w:w="0" w:type="dxa"/>
            </w:tcMar>
            <w:vAlign w:val="center"/>
          </w:tcPr>
          <w:p w:rsidR="0079377C" w:rsidRDefault="00D64D14">
            <w:pPr>
              <w:keepNext/>
              <w:keepLines/>
              <w:spacing w:after="0" w:line="240" w:lineRule="auto"/>
              <w:jc w:val="right"/>
            </w:pPr>
            <w:r>
              <w:rPr>
                <w:sz w:val="18"/>
              </w:rPr>
              <w:t>45.790,38</w:t>
            </w:r>
          </w:p>
        </w:tc>
        <w:tc>
          <w:tcPr>
            <w:tcW w:w="1860" w:type="dxa"/>
            <w:tcMar>
              <w:top w:w="0" w:type="dxa"/>
              <w:bottom w:w="0" w:type="dxa"/>
            </w:tcMar>
            <w:vAlign w:val="center"/>
          </w:tcPr>
          <w:p w:rsidR="0079377C" w:rsidRDefault="00D64D14">
            <w:pPr>
              <w:keepNext/>
              <w:keepLines/>
              <w:spacing w:after="0" w:line="240" w:lineRule="auto"/>
              <w:jc w:val="right"/>
            </w:pPr>
            <w:r>
              <w:rPr>
                <w:sz w:val="18"/>
              </w:rPr>
              <w:t>61.852,25</w:t>
            </w:r>
          </w:p>
        </w:tc>
        <w:tc>
          <w:tcPr>
            <w:tcW w:w="700" w:type="dxa"/>
            <w:tcMar>
              <w:top w:w="0" w:type="dxa"/>
              <w:bottom w:w="0" w:type="dxa"/>
            </w:tcMar>
            <w:vAlign w:val="center"/>
          </w:tcPr>
          <w:p w:rsidR="0079377C" w:rsidRDefault="00D64D14">
            <w:pPr>
              <w:keepNext/>
              <w:keepLines/>
              <w:spacing w:after="0" w:line="240" w:lineRule="auto"/>
              <w:jc w:val="right"/>
            </w:pPr>
            <w:r>
              <w:rPr>
                <w:sz w:val="18"/>
              </w:rPr>
              <w:t>135,1</w:t>
            </w:r>
          </w:p>
        </w:tc>
      </w:tr>
    </w:tbl>
    <w:p w:rsidR="0079377C" w:rsidRDefault="0079377C">
      <w:pPr>
        <w:spacing w:after="0"/>
      </w:pPr>
    </w:p>
    <w:p w:rsidR="0079377C" w:rsidRDefault="00D64D14">
      <w:r>
        <w:t>Vlastiti izvori veći su u odnosu na prethodnu godinu jer je vrijednost nabavljene imovine veća od ispravka vrijednosti za 2025.</w:t>
      </w:r>
    </w:p>
    <w:p w:rsidR="0079377C" w:rsidRDefault="0079377C"/>
    <w:p w:rsidR="0079377C" w:rsidRDefault="00D64D14">
      <w:pPr>
        <w:keepNext/>
        <w:spacing w:line="240" w:lineRule="auto"/>
        <w:jc w:val="center"/>
      </w:pPr>
      <w:r>
        <w:rPr>
          <w:sz w:val="28"/>
        </w:rPr>
        <w:lastRenderedPageBreak/>
        <w:t>Bilješka 40.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922</w:t>
            </w:r>
          </w:p>
        </w:tc>
        <w:tc>
          <w:tcPr>
            <w:tcW w:w="3180" w:type="dxa"/>
            <w:tcMar>
              <w:top w:w="0" w:type="dxa"/>
              <w:bottom w:w="0" w:type="dxa"/>
            </w:tcMar>
            <w:vAlign w:val="center"/>
          </w:tcPr>
          <w:p w:rsidR="0079377C" w:rsidRDefault="00D64D14">
            <w:pPr>
              <w:keepNext/>
              <w:keepLines/>
              <w:spacing w:after="0" w:line="240" w:lineRule="auto"/>
            </w:pPr>
            <w:r>
              <w:rPr>
                <w:sz w:val="18"/>
              </w:rPr>
              <w:t>Rezultat - višak/manjak (šifre 9221-9222)</w:t>
            </w:r>
          </w:p>
        </w:tc>
        <w:tc>
          <w:tcPr>
            <w:tcW w:w="700" w:type="dxa"/>
            <w:tcMar>
              <w:top w:w="0" w:type="dxa"/>
              <w:bottom w:w="0" w:type="dxa"/>
            </w:tcMar>
            <w:vAlign w:val="center"/>
          </w:tcPr>
          <w:p w:rsidR="0079377C" w:rsidRDefault="00D64D14">
            <w:pPr>
              <w:keepNext/>
              <w:keepLines/>
              <w:spacing w:after="0" w:line="240" w:lineRule="auto"/>
            </w:pPr>
            <w:r>
              <w:rPr>
                <w:sz w:val="18"/>
              </w:rPr>
              <w:t>922</w:t>
            </w:r>
          </w:p>
        </w:tc>
        <w:tc>
          <w:tcPr>
            <w:tcW w:w="1860" w:type="dxa"/>
            <w:tcMar>
              <w:top w:w="0" w:type="dxa"/>
              <w:bottom w:w="0" w:type="dxa"/>
            </w:tcMar>
            <w:vAlign w:val="center"/>
          </w:tcPr>
          <w:p w:rsidR="0079377C" w:rsidRDefault="00D64D14">
            <w:pPr>
              <w:keepNext/>
              <w:keepLines/>
              <w:spacing w:after="0" w:line="240" w:lineRule="auto"/>
              <w:jc w:val="right"/>
            </w:pPr>
            <w:r>
              <w:rPr>
                <w:sz w:val="18"/>
              </w:rPr>
              <w:t>283.379,55</w:t>
            </w:r>
          </w:p>
        </w:tc>
        <w:tc>
          <w:tcPr>
            <w:tcW w:w="1860" w:type="dxa"/>
            <w:tcMar>
              <w:top w:w="0" w:type="dxa"/>
              <w:bottom w:w="0" w:type="dxa"/>
            </w:tcMar>
            <w:vAlign w:val="center"/>
          </w:tcPr>
          <w:p w:rsidR="0079377C" w:rsidRDefault="00D64D14">
            <w:pPr>
              <w:keepNext/>
              <w:keepLines/>
              <w:spacing w:after="0" w:line="240" w:lineRule="auto"/>
              <w:jc w:val="right"/>
            </w:pPr>
            <w:r>
              <w:rPr>
                <w:sz w:val="18"/>
              </w:rPr>
              <w:t>88.751,66</w:t>
            </w:r>
          </w:p>
        </w:tc>
        <w:tc>
          <w:tcPr>
            <w:tcW w:w="700" w:type="dxa"/>
            <w:tcMar>
              <w:top w:w="0" w:type="dxa"/>
              <w:bottom w:w="0" w:type="dxa"/>
            </w:tcMar>
            <w:vAlign w:val="center"/>
          </w:tcPr>
          <w:p w:rsidR="0079377C" w:rsidRDefault="00D64D14">
            <w:pPr>
              <w:keepNext/>
              <w:keepLines/>
              <w:spacing w:after="0" w:line="240" w:lineRule="auto"/>
              <w:jc w:val="right"/>
            </w:pPr>
            <w:r>
              <w:rPr>
                <w:sz w:val="18"/>
              </w:rPr>
              <w:t>31,3</w:t>
            </w:r>
          </w:p>
        </w:tc>
      </w:tr>
    </w:tbl>
    <w:p w:rsidR="0079377C" w:rsidRDefault="0079377C">
      <w:pPr>
        <w:spacing w:after="0"/>
      </w:pPr>
    </w:p>
    <w:p w:rsidR="0079377C" w:rsidRDefault="00D64D14">
      <w:r>
        <w:t>Rezultat -višak/manjak iznosi na kraju godine 88.751,66 eur zbog donosa višak iz prethodnog razdoblja.</w:t>
      </w:r>
    </w:p>
    <w:p w:rsidR="0079377C" w:rsidRDefault="0079377C"/>
    <w:p w:rsidR="0079377C" w:rsidRDefault="00D64D14">
      <w:pPr>
        <w:keepNext/>
        <w:spacing w:line="240" w:lineRule="auto"/>
        <w:jc w:val="center"/>
      </w:pPr>
      <w:r>
        <w:rPr>
          <w:sz w:val="28"/>
        </w:rPr>
        <w:t>Bilješka 41.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92211</w:t>
            </w:r>
          </w:p>
        </w:tc>
        <w:tc>
          <w:tcPr>
            <w:tcW w:w="3180" w:type="dxa"/>
            <w:tcMar>
              <w:top w:w="0" w:type="dxa"/>
              <w:bottom w:w="0" w:type="dxa"/>
            </w:tcMar>
            <w:vAlign w:val="center"/>
          </w:tcPr>
          <w:p w:rsidR="0079377C" w:rsidRDefault="00D64D14">
            <w:pPr>
              <w:keepNext/>
              <w:keepLines/>
              <w:spacing w:after="0" w:line="240" w:lineRule="auto"/>
            </w:pPr>
            <w:r>
              <w:rPr>
                <w:sz w:val="18"/>
              </w:rPr>
              <w:t>Višak prihoda poslovanja</w:t>
            </w:r>
          </w:p>
        </w:tc>
        <w:tc>
          <w:tcPr>
            <w:tcW w:w="700" w:type="dxa"/>
            <w:tcMar>
              <w:top w:w="0" w:type="dxa"/>
              <w:bottom w:w="0" w:type="dxa"/>
            </w:tcMar>
            <w:vAlign w:val="center"/>
          </w:tcPr>
          <w:p w:rsidR="0079377C" w:rsidRDefault="00D64D14">
            <w:pPr>
              <w:keepNext/>
              <w:keepLines/>
              <w:spacing w:after="0" w:line="240" w:lineRule="auto"/>
            </w:pPr>
            <w:r>
              <w:rPr>
                <w:sz w:val="18"/>
              </w:rPr>
              <w:t>92211</w:t>
            </w:r>
          </w:p>
        </w:tc>
        <w:tc>
          <w:tcPr>
            <w:tcW w:w="1860" w:type="dxa"/>
            <w:tcMar>
              <w:top w:w="0" w:type="dxa"/>
              <w:bottom w:w="0" w:type="dxa"/>
            </w:tcMar>
            <w:vAlign w:val="center"/>
          </w:tcPr>
          <w:p w:rsidR="0079377C" w:rsidRDefault="00D64D14">
            <w:pPr>
              <w:keepNext/>
              <w:keepLines/>
              <w:spacing w:after="0" w:line="240" w:lineRule="auto"/>
              <w:jc w:val="right"/>
            </w:pPr>
            <w:r>
              <w:rPr>
                <w:sz w:val="18"/>
              </w:rPr>
              <w:t>283.379,55</w:t>
            </w:r>
          </w:p>
        </w:tc>
        <w:tc>
          <w:tcPr>
            <w:tcW w:w="1860" w:type="dxa"/>
            <w:tcMar>
              <w:top w:w="0" w:type="dxa"/>
              <w:bottom w:w="0" w:type="dxa"/>
            </w:tcMar>
            <w:vAlign w:val="center"/>
          </w:tcPr>
          <w:p w:rsidR="0079377C" w:rsidRDefault="00D64D14">
            <w:pPr>
              <w:keepNext/>
              <w:keepLines/>
              <w:spacing w:after="0" w:line="240" w:lineRule="auto"/>
              <w:jc w:val="right"/>
            </w:pPr>
            <w:r>
              <w:rPr>
                <w:sz w:val="18"/>
              </w:rPr>
              <w:t>129.333,84</w:t>
            </w:r>
          </w:p>
        </w:tc>
        <w:tc>
          <w:tcPr>
            <w:tcW w:w="700" w:type="dxa"/>
            <w:tcMar>
              <w:top w:w="0" w:type="dxa"/>
              <w:bottom w:w="0" w:type="dxa"/>
            </w:tcMar>
            <w:vAlign w:val="center"/>
          </w:tcPr>
          <w:p w:rsidR="0079377C" w:rsidRDefault="00D64D14">
            <w:pPr>
              <w:keepNext/>
              <w:keepLines/>
              <w:spacing w:after="0" w:line="240" w:lineRule="auto"/>
              <w:jc w:val="right"/>
            </w:pPr>
            <w:r>
              <w:rPr>
                <w:sz w:val="18"/>
              </w:rPr>
              <w:t>45,6</w:t>
            </w:r>
          </w:p>
        </w:tc>
      </w:tr>
    </w:tbl>
    <w:p w:rsidR="0079377C" w:rsidRDefault="0079377C">
      <w:pPr>
        <w:spacing w:after="0"/>
      </w:pPr>
    </w:p>
    <w:p w:rsidR="0079377C" w:rsidRDefault="00D64D14">
      <w:r>
        <w:t>U 2025.godini ostvaren je manjak prihoda poslovanja u iznosu od 154.045,71 eur, a iz prethodnog razdoblja preneseni je višak poslovanja u iznosu od 283.379,55 eur. Prebijanjem viška sa manjkom ostaje višak prihoda poslovanja za prijenos u naredno razdoblje</w:t>
      </w:r>
      <w:r>
        <w:t xml:space="preserve"> u iznosu od 129.333,84 eur.</w:t>
      </w:r>
    </w:p>
    <w:p w:rsidR="0079377C" w:rsidRDefault="0079377C"/>
    <w:p w:rsidR="0079377C" w:rsidRDefault="00D64D14">
      <w:pPr>
        <w:keepNext/>
        <w:spacing w:line="240" w:lineRule="auto"/>
        <w:jc w:val="center"/>
      </w:pPr>
      <w:r>
        <w:rPr>
          <w:sz w:val="28"/>
        </w:rPr>
        <w:t>Bilješka 42.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92222</w:t>
            </w:r>
          </w:p>
        </w:tc>
        <w:tc>
          <w:tcPr>
            <w:tcW w:w="3180" w:type="dxa"/>
            <w:tcMar>
              <w:top w:w="0" w:type="dxa"/>
              <w:bottom w:w="0" w:type="dxa"/>
            </w:tcMar>
            <w:vAlign w:val="center"/>
          </w:tcPr>
          <w:p w:rsidR="0079377C" w:rsidRDefault="00D64D14">
            <w:pPr>
              <w:keepNext/>
              <w:keepLines/>
              <w:spacing w:after="0" w:line="240" w:lineRule="auto"/>
            </w:pPr>
            <w:r>
              <w:rPr>
                <w:sz w:val="18"/>
              </w:rPr>
              <w:t>Manjak prihoda od nefinancijske imovine</w:t>
            </w:r>
          </w:p>
        </w:tc>
        <w:tc>
          <w:tcPr>
            <w:tcW w:w="700" w:type="dxa"/>
            <w:tcMar>
              <w:top w:w="0" w:type="dxa"/>
              <w:bottom w:w="0" w:type="dxa"/>
            </w:tcMar>
            <w:vAlign w:val="center"/>
          </w:tcPr>
          <w:p w:rsidR="0079377C" w:rsidRDefault="00D64D14">
            <w:pPr>
              <w:keepNext/>
              <w:keepLines/>
              <w:spacing w:after="0" w:line="240" w:lineRule="auto"/>
            </w:pPr>
            <w:r>
              <w:rPr>
                <w:sz w:val="18"/>
              </w:rPr>
              <w:t>92222</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40.582,18</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Manjka prihoda poslovanja od nefinancijske imovine pokriti će se 2026.godine sukladno odluci o raspodjeli rezultata.</w:t>
      </w:r>
    </w:p>
    <w:p w:rsidR="0079377C" w:rsidRDefault="0079377C"/>
    <w:p w:rsidR="0079377C" w:rsidRDefault="00D64D14">
      <w:pPr>
        <w:keepNext/>
        <w:spacing w:line="240" w:lineRule="auto"/>
        <w:jc w:val="center"/>
      </w:pPr>
      <w:r>
        <w:rPr>
          <w:sz w:val="28"/>
        </w:rPr>
        <w:t>Bilješka 43.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96</w:t>
            </w:r>
          </w:p>
        </w:tc>
        <w:tc>
          <w:tcPr>
            <w:tcW w:w="3180" w:type="dxa"/>
            <w:tcMar>
              <w:top w:w="0" w:type="dxa"/>
              <w:bottom w:w="0" w:type="dxa"/>
            </w:tcMar>
            <w:vAlign w:val="center"/>
          </w:tcPr>
          <w:p w:rsidR="0079377C" w:rsidRDefault="00D64D14">
            <w:pPr>
              <w:keepNext/>
              <w:keepLines/>
              <w:spacing w:after="0" w:line="240" w:lineRule="auto"/>
            </w:pPr>
            <w:r>
              <w:rPr>
                <w:sz w:val="18"/>
              </w:rPr>
              <w:t xml:space="preserve">Obračunati prihodi poslovanja </w:t>
            </w:r>
            <w:r>
              <w:rPr>
                <w:sz w:val="18"/>
              </w:rPr>
              <w:t>(šifre 961 do 963 + 964 do 968)</w:t>
            </w:r>
          </w:p>
        </w:tc>
        <w:tc>
          <w:tcPr>
            <w:tcW w:w="700" w:type="dxa"/>
            <w:tcMar>
              <w:top w:w="0" w:type="dxa"/>
              <w:bottom w:w="0" w:type="dxa"/>
            </w:tcMar>
            <w:vAlign w:val="center"/>
          </w:tcPr>
          <w:p w:rsidR="0079377C" w:rsidRDefault="00D64D14">
            <w:pPr>
              <w:keepNext/>
              <w:keepLines/>
              <w:spacing w:after="0" w:line="240" w:lineRule="auto"/>
            </w:pPr>
            <w:r>
              <w:rPr>
                <w:sz w:val="18"/>
              </w:rPr>
              <w:t>96</w:t>
            </w:r>
          </w:p>
        </w:tc>
        <w:tc>
          <w:tcPr>
            <w:tcW w:w="1860" w:type="dxa"/>
            <w:tcMar>
              <w:top w:w="0" w:type="dxa"/>
              <w:bottom w:w="0" w:type="dxa"/>
            </w:tcMar>
            <w:vAlign w:val="center"/>
          </w:tcPr>
          <w:p w:rsidR="0079377C" w:rsidRDefault="00D64D14">
            <w:pPr>
              <w:keepNext/>
              <w:keepLines/>
              <w:spacing w:after="0" w:line="240" w:lineRule="auto"/>
              <w:jc w:val="right"/>
            </w:pPr>
            <w:r>
              <w:rPr>
                <w:sz w:val="18"/>
              </w:rPr>
              <w:t>259.908,62</w:t>
            </w:r>
          </w:p>
        </w:tc>
        <w:tc>
          <w:tcPr>
            <w:tcW w:w="1860" w:type="dxa"/>
            <w:tcMar>
              <w:top w:w="0" w:type="dxa"/>
              <w:bottom w:w="0" w:type="dxa"/>
            </w:tcMar>
            <w:vAlign w:val="center"/>
          </w:tcPr>
          <w:p w:rsidR="0079377C" w:rsidRDefault="00D64D14">
            <w:pPr>
              <w:keepNext/>
              <w:keepLines/>
              <w:spacing w:after="0" w:line="240" w:lineRule="auto"/>
              <w:jc w:val="right"/>
            </w:pPr>
            <w:r>
              <w:rPr>
                <w:sz w:val="18"/>
              </w:rPr>
              <w:t>302.305,44</w:t>
            </w:r>
          </w:p>
        </w:tc>
        <w:tc>
          <w:tcPr>
            <w:tcW w:w="700" w:type="dxa"/>
            <w:tcMar>
              <w:top w:w="0" w:type="dxa"/>
              <w:bottom w:w="0" w:type="dxa"/>
            </w:tcMar>
            <w:vAlign w:val="center"/>
          </w:tcPr>
          <w:p w:rsidR="0079377C" w:rsidRDefault="00D64D14">
            <w:pPr>
              <w:keepNext/>
              <w:keepLines/>
              <w:spacing w:after="0" w:line="240" w:lineRule="auto"/>
              <w:jc w:val="right"/>
            </w:pPr>
            <w:r>
              <w:rPr>
                <w:sz w:val="18"/>
              </w:rPr>
              <w:t>116,3</w:t>
            </w:r>
          </w:p>
        </w:tc>
      </w:tr>
    </w:tbl>
    <w:p w:rsidR="0079377C" w:rsidRDefault="0079377C">
      <w:pPr>
        <w:spacing w:after="0"/>
      </w:pPr>
    </w:p>
    <w:p w:rsidR="0079377C" w:rsidRDefault="00D64D14">
      <w:r>
        <w:t>Obračunati prihodi poslovanja odnose se na potraživanja po predanim zahtjevima za nadoknadu nastalih rashoda po projektima EU. U okviru bilješke uz konto 163 objašnjeno je o kojim projektima se radi.</w:t>
      </w:r>
    </w:p>
    <w:p w:rsidR="0079377C" w:rsidRDefault="0079377C"/>
    <w:p w:rsidR="0079377C" w:rsidRDefault="00D64D14">
      <w:pPr>
        <w:keepNext/>
        <w:spacing w:line="240" w:lineRule="auto"/>
        <w:jc w:val="center"/>
      </w:pPr>
      <w:r>
        <w:rPr>
          <w:sz w:val="28"/>
        </w:rPr>
        <w:t>Bilješka 44.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w:t>
            </w:r>
            <w:r>
              <w:rPr>
                <w:b/>
                <w:sz w:val="18"/>
              </w:rPr>
              <w:t>je 1. siječnja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991</w:t>
            </w:r>
          </w:p>
        </w:tc>
        <w:tc>
          <w:tcPr>
            <w:tcW w:w="3180" w:type="dxa"/>
            <w:tcMar>
              <w:top w:w="0" w:type="dxa"/>
              <w:bottom w:w="0" w:type="dxa"/>
            </w:tcMar>
            <w:vAlign w:val="center"/>
          </w:tcPr>
          <w:p w:rsidR="0079377C" w:rsidRDefault="00D64D14">
            <w:pPr>
              <w:keepNext/>
              <w:keepLines/>
              <w:spacing w:after="0" w:line="240" w:lineRule="auto"/>
            </w:pPr>
            <w:r>
              <w:rPr>
                <w:sz w:val="18"/>
              </w:rPr>
              <w:t>Izvanbilančni zapisi - aktiva (šifra 996)</w:t>
            </w:r>
          </w:p>
        </w:tc>
        <w:tc>
          <w:tcPr>
            <w:tcW w:w="700" w:type="dxa"/>
            <w:tcMar>
              <w:top w:w="0" w:type="dxa"/>
              <w:bottom w:w="0" w:type="dxa"/>
            </w:tcMar>
            <w:vAlign w:val="center"/>
          </w:tcPr>
          <w:p w:rsidR="0079377C" w:rsidRDefault="00D64D14">
            <w:pPr>
              <w:keepNext/>
              <w:keepLines/>
              <w:spacing w:after="0" w:line="240" w:lineRule="auto"/>
            </w:pPr>
            <w:r>
              <w:rPr>
                <w:sz w:val="18"/>
              </w:rPr>
              <w:t>991</w:t>
            </w:r>
          </w:p>
        </w:tc>
        <w:tc>
          <w:tcPr>
            <w:tcW w:w="1860" w:type="dxa"/>
            <w:tcMar>
              <w:top w:w="0" w:type="dxa"/>
              <w:bottom w:w="0" w:type="dxa"/>
            </w:tcMar>
            <w:vAlign w:val="center"/>
          </w:tcPr>
          <w:p w:rsidR="0079377C" w:rsidRDefault="00D64D14">
            <w:pPr>
              <w:keepNext/>
              <w:keepLines/>
              <w:spacing w:after="0" w:line="240" w:lineRule="auto"/>
              <w:jc w:val="right"/>
            </w:pPr>
            <w:r>
              <w:rPr>
                <w:sz w:val="18"/>
              </w:rPr>
              <w:t>280.501,94</w:t>
            </w:r>
          </w:p>
        </w:tc>
        <w:tc>
          <w:tcPr>
            <w:tcW w:w="1860" w:type="dxa"/>
            <w:tcMar>
              <w:top w:w="0" w:type="dxa"/>
              <w:bottom w:w="0" w:type="dxa"/>
            </w:tcMar>
            <w:vAlign w:val="center"/>
          </w:tcPr>
          <w:p w:rsidR="0079377C" w:rsidRDefault="00D64D14">
            <w:pPr>
              <w:keepNext/>
              <w:keepLines/>
              <w:spacing w:after="0" w:line="240" w:lineRule="auto"/>
              <w:jc w:val="right"/>
            </w:pPr>
            <w:r>
              <w:rPr>
                <w:sz w:val="18"/>
              </w:rPr>
              <w:t>2.383.476,07</w:t>
            </w:r>
          </w:p>
        </w:tc>
        <w:tc>
          <w:tcPr>
            <w:tcW w:w="700" w:type="dxa"/>
            <w:tcMar>
              <w:top w:w="0" w:type="dxa"/>
              <w:bottom w:w="0" w:type="dxa"/>
            </w:tcMar>
            <w:vAlign w:val="center"/>
          </w:tcPr>
          <w:p w:rsidR="0079377C" w:rsidRDefault="00D64D14">
            <w:pPr>
              <w:keepNext/>
              <w:keepLines/>
              <w:spacing w:after="0" w:line="240" w:lineRule="auto"/>
              <w:jc w:val="right"/>
            </w:pPr>
            <w:r>
              <w:rPr>
                <w:sz w:val="18"/>
              </w:rPr>
              <w:t>849,7</w:t>
            </w:r>
          </w:p>
        </w:tc>
      </w:tr>
    </w:tbl>
    <w:p w:rsidR="0079377C" w:rsidRDefault="0079377C">
      <w:pPr>
        <w:spacing w:after="0"/>
      </w:pPr>
    </w:p>
    <w:p w:rsidR="0079377C" w:rsidRDefault="00D64D14">
      <w:r>
        <w:t>Izvanbilančne zapise čine evidencije o tuđoj imovini (pisač vrijednosti 1337,50 eur), instrumenti osiguranja plaćanja u iznosu od 322.963,37 eur i potraživanja po ugovorima o dodijeljenim bespovratnim sredstvima iz EU fondova u iznosu od 2.059.175,20 eur.</w:t>
      </w:r>
    </w:p>
    <w:p w:rsidR="0079377C" w:rsidRDefault="0079377C"/>
    <w:p w:rsidR="0079377C" w:rsidRDefault="00D64D14">
      <w:pPr>
        <w:keepNext/>
        <w:spacing w:line="240" w:lineRule="auto"/>
        <w:jc w:val="center"/>
      </w:pPr>
      <w:r>
        <w:rPr>
          <w:b/>
          <w:sz w:val="28"/>
        </w:rPr>
        <w:t>Izvještaj o rashodima prema funkcijskoj klasifikaciji</w:t>
      </w:r>
    </w:p>
    <w:p w:rsidR="0079377C" w:rsidRDefault="00D64D14">
      <w:pPr>
        <w:keepNext/>
        <w:spacing w:line="240" w:lineRule="auto"/>
        <w:jc w:val="center"/>
      </w:pPr>
      <w:r>
        <w:rPr>
          <w:sz w:val="28"/>
        </w:rPr>
        <w:t>Bilješka 45.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0474</w:t>
            </w:r>
          </w:p>
        </w:tc>
        <w:tc>
          <w:tcPr>
            <w:tcW w:w="3180" w:type="dxa"/>
            <w:tcMar>
              <w:top w:w="0" w:type="dxa"/>
              <w:bottom w:w="0" w:type="dxa"/>
            </w:tcMar>
            <w:vAlign w:val="center"/>
          </w:tcPr>
          <w:p w:rsidR="0079377C" w:rsidRDefault="00D64D14">
            <w:pPr>
              <w:keepNext/>
              <w:keepLines/>
              <w:spacing w:after="0" w:line="240" w:lineRule="auto"/>
            </w:pPr>
            <w:r>
              <w:rPr>
                <w:sz w:val="18"/>
              </w:rPr>
              <w:t>Višenamjenski razvojni projekti</w:t>
            </w:r>
          </w:p>
        </w:tc>
        <w:tc>
          <w:tcPr>
            <w:tcW w:w="700" w:type="dxa"/>
            <w:tcMar>
              <w:top w:w="0" w:type="dxa"/>
              <w:bottom w:w="0" w:type="dxa"/>
            </w:tcMar>
            <w:vAlign w:val="center"/>
          </w:tcPr>
          <w:p w:rsidR="0079377C" w:rsidRDefault="00D64D14">
            <w:pPr>
              <w:keepNext/>
              <w:keepLines/>
              <w:spacing w:after="0" w:line="240" w:lineRule="auto"/>
            </w:pPr>
            <w:r>
              <w:rPr>
                <w:sz w:val="18"/>
              </w:rPr>
              <w:t>0474</w:t>
            </w:r>
          </w:p>
        </w:tc>
        <w:tc>
          <w:tcPr>
            <w:tcW w:w="1860" w:type="dxa"/>
            <w:tcMar>
              <w:top w:w="0" w:type="dxa"/>
              <w:bottom w:w="0" w:type="dxa"/>
            </w:tcMar>
            <w:vAlign w:val="center"/>
          </w:tcPr>
          <w:p w:rsidR="0079377C" w:rsidRDefault="00D64D14">
            <w:pPr>
              <w:keepNext/>
              <w:keepLines/>
              <w:spacing w:after="0" w:line="240" w:lineRule="auto"/>
              <w:jc w:val="right"/>
            </w:pPr>
            <w:r>
              <w:rPr>
                <w:sz w:val="18"/>
              </w:rPr>
              <w:t>1.120.760,09</w:t>
            </w:r>
          </w:p>
        </w:tc>
        <w:tc>
          <w:tcPr>
            <w:tcW w:w="1860" w:type="dxa"/>
            <w:tcMar>
              <w:top w:w="0" w:type="dxa"/>
              <w:bottom w:w="0" w:type="dxa"/>
            </w:tcMar>
            <w:vAlign w:val="center"/>
          </w:tcPr>
          <w:p w:rsidR="0079377C" w:rsidRDefault="00D64D14">
            <w:pPr>
              <w:keepNext/>
              <w:keepLines/>
              <w:spacing w:after="0" w:line="240" w:lineRule="auto"/>
              <w:jc w:val="right"/>
            </w:pPr>
            <w:r>
              <w:rPr>
                <w:sz w:val="18"/>
              </w:rPr>
              <w:t>1.832.154,52</w:t>
            </w:r>
          </w:p>
        </w:tc>
        <w:tc>
          <w:tcPr>
            <w:tcW w:w="700" w:type="dxa"/>
            <w:tcMar>
              <w:top w:w="0" w:type="dxa"/>
              <w:bottom w:w="0" w:type="dxa"/>
            </w:tcMar>
            <w:vAlign w:val="center"/>
          </w:tcPr>
          <w:p w:rsidR="0079377C" w:rsidRDefault="00D64D14">
            <w:pPr>
              <w:keepNext/>
              <w:keepLines/>
              <w:spacing w:after="0" w:line="240" w:lineRule="auto"/>
              <w:jc w:val="right"/>
            </w:pPr>
            <w:r>
              <w:rPr>
                <w:sz w:val="18"/>
              </w:rPr>
              <w:t>163,5</w:t>
            </w:r>
          </w:p>
        </w:tc>
      </w:tr>
    </w:tbl>
    <w:p w:rsidR="0079377C" w:rsidRDefault="0079377C">
      <w:pPr>
        <w:spacing w:after="0"/>
      </w:pPr>
    </w:p>
    <w:p w:rsidR="0079377C" w:rsidRDefault="00D64D14">
      <w:r>
        <w:t>Rashodi prema funkcijskoj klasifikaciji jednaki su rashodima i izdacima iz PR-RAS za 2025.godinu.</w:t>
      </w:r>
    </w:p>
    <w:p w:rsidR="0079377C" w:rsidRDefault="0079377C"/>
    <w:p w:rsidR="0079377C" w:rsidRDefault="00D64D14">
      <w:pPr>
        <w:keepNext/>
        <w:spacing w:line="240" w:lineRule="auto"/>
        <w:jc w:val="center"/>
      </w:pPr>
      <w:r>
        <w:rPr>
          <w:b/>
          <w:sz w:val="28"/>
        </w:rPr>
        <w:t>Promjene u vrijednosti i obujmu imovine i obveza</w:t>
      </w:r>
    </w:p>
    <w:p w:rsidR="0079377C" w:rsidRDefault="00D64D14">
      <w:pPr>
        <w:keepNext/>
        <w:spacing w:line="240" w:lineRule="auto"/>
        <w:jc w:val="center"/>
      </w:pPr>
      <w:r>
        <w:rPr>
          <w:sz w:val="28"/>
        </w:rPr>
        <w:t>Bilješka 46.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D64D14">
            <w:pPr>
              <w:keepNext/>
              <w:keepLines/>
              <w:spacing w:after="0" w:line="240" w:lineRule="auto"/>
            </w:pPr>
            <w:r>
              <w:rPr>
                <w:sz w:val="18"/>
              </w:rPr>
              <w:t>91511</w:t>
            </w:r>
          </w:p>
        </w:tc>
        <w:tc>
          <w:tcPr>
            <w:tcW w:w="3180" w:type="dxa"/>
            <w:tcMar>
              <w:top w:w="0" w:type="dxa"/>
              <w:bottom w:w="0" w:type="dxa"/>
            </w:tcMar>
            <w:vAlign w:val="center"/>
          </w:tcPr>
          <w:p w:rsidR="0079377C" w:rsidRDefault="00D64D14">
            <w:pPr>
              <w:keepNext/>
              <w:keepLines/>
              <w:spacing w:after="0" w:line="240" w:lineRule="auto"/>
            </w:pPr>
            <w:r>
              <w:rPr>
                <w:sz w:val="18"/>
              </w:rPr>
              <w:t>Promjene u vrijednosti imovine (šifre P001+P008)</w:t>
            </w:r>
          </w:p>
        </w:tc>
        <w:tc>
          <w:tcPr>
            <w:tcW w:w="700" w:type="dxa"/>
            <w:tcMar>
              <w:top w:w="0" w:type="dxa"/>
              <w:bottom w:w="0" w:type="dxa"/>
            </w:tcMar>
            <w:vAlign w:val="center"/>
          </w:tcPr>
          <w:p w:rsidR="0079377C" w:rsidRDefault="00D64D14">
            <w:pPr>
              <w:keepNext/>
              <w:keepLines/>
              <w:spacing w:after="0" w:line="240" w:lineRule="auto"/>
            </w:pPr>
            <w:r>
              <w:rPr>
                <w:sz w:val="18"/>
              </w:rPr>
              <w:t>91511</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24.520,32</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Promjene u vrijednosti imovine iskazuju smanjenje za 24.520,32 eur koliko iznosi ispravak vrijednosti dugotrajne imovine u 2025.godini. Ispravak imovine obračunat je linearnom metodom prema stopama propisanim Pravilnikom.</w:t>
      </w:r>
    </w:p>
    <w:p w:rsidR="0079377C" w:rsidRDefault="0079377C"/>
    <w:p w:rsidR="0079377C" w:rsidRDefault="00D64D14">
      <w:pPr>
        <w:keepNext/>
        <w:spacing w:line="240" w:lineRule="auto"/>
        <w:jc w:val="center"/>
      </w:pPr>
      <w:r>
        <w:rPr>
          <w:sz w:val="28"/>
        </w:rPr>
        <w:lastRenderedPageBreak/>
        <w:t>Bilješka 47.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700"/>
        <w:gridCol w:w="3180"/>
        <w:gridCol w:w="700"/>
        <w:gridCol w:w="1860"/>
        <w:gridCol w:w="1860"/>
        <w:gridCol w:w="700"/>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rsidR="0079377C" w:rsidRDefault="00D64D14">
            <w:pPr>
              <w:keepNext/>
              <w:keepLines/>
              <w:spacing w:after="0" w:line="240" w:lineRule="auto"/>
            </w:pPr>
            <w:r>
              <w:rPr>
                <w:sz w:val="18"/>
              </w:rPr>
              <w:t>P016</w:t>
            </w:r>
          </w:p>
        </w:tc>
        <w:tc>
          <w:tcPr>
            <w:tcW w:w="1860" w:type="dxa"/>
            <w:tcMar>
              <w:top w:w="0" w:type="dxa"/>
              <w:bottom w:w="0" w:type="dxa"/>
            </w:tcMar>
            <w:vAlign w:val="center"/>
          </w:tcPr>
          <w:p w:rsidR="0079377C" w:rsidRDefault="00D64D14">
            <w:pPr>
              <w:keepNext/>
              <w:keepLines/>
              <w:spacing w:after="0" w:line="240" w:lineRule="auto"/>
              <w:jc w:val="right"/>
            </w:pPr>
            <w:r>
              <w:rPr>
                <w:sz w:val="18"/>
              </w:rPr>
              <w:t>0,00</w:t>
            </w:r>
          </w:p>
        </w:tc>
        <w:tc>
          <w:tcPr>
            <w:tcW w:w="1860" w:type="dxa"/>
            <w:tcMar>
              <w:top w:w="0" w:type="dxa"/>
              <w:bottom w:w="0" w:type="dxa"/>
            </w:tcMar>
            <w:vAlign w:val="center"/>
          </w:tcPr>
          <w:p w:rsidR="0079377C" w:rsidRDefault="00D64D14">
            <w:pPr>
              <w:keepNext/>
              <w:keepLines/>
              <w:spacing w:after="0" w:line="240" w:lineRule="auto"/>
              <w:jc w:val="right"/>
            </w:pPr>
            <w:r>
              <w:rPr>
                <w:sz w:val="18"/>
              </w:rPr>
              <w:t>14.201,16</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Promjene u obujmu nefinancijske imovine također se odnose na smanjenje obujma. Radi se o otpisu  rashodovane neproizvedene dugotrajne imovine u iznosu od 8.261,99 eur i otpisu proizvedene dugotrajne imovine u iznosu od  5.939,17 eur.</w:t>
      </w:r>
    </w:p>
    <w:p w:rsidR="0079377C" w:rsidRDefault="0079377C"/>
    <w:p w:rsidR="0079377C" w:rsidRDefault="00D64D14">
      <w:pPr>
        <w:keepNext/>
        <w:spacing w:line="240" w:lineRule="auto"/>
        <w:jc w:val="center"/>
      </w:pPr>
      <w:r>
        <w:rPr>
          <w:b/>
          <w:sz w:val="28"/>
        </w:rPr>
        <w:t>Izvještaj o obvezama</w:t>
      </w:r>
    </w:p>
    <w:p w:rsidR="0079377C" w:rsidRDefault="00D64D14">
      <w:pPr>
        <w:keepNext/>
        <w:spacing w:line="240" w:lineRule="auto"/>
        <w:jc w:val="center"/>
      </w:pPr>
      <w:r>
        <w:rPr>
          <w:sz w:val="28"/>
        </w:rPr>
        <w:t>Bilješka 48.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rsidR="0079377C" w:rsidRDefault="00D64D14">
            <w:pPr>
              <w:keepNext/>
              <w:keepLines/>
              <w:spacing w:after="0" w:line="240" w:lineRule="auto"/>
            </w:pPr>
            <w:r>
              <w:rPr>
                <w:sz w:val="18"/>
              </w:rPr>
              <w:t>V002</w:t>
            </w:r>
          </w:p>
        </w:tc>
        <w:tc>
          <w:tcPr>
            <w:tcW w:w="1860" w:type="dxa"/>
            <w:tcMar>
              <w:top w:w="0" w:type="dxa"/>
              <w:bottom w:w="0" w:type="dxa"/>
            </w:tcMar>
            <w:vAlign w:val="center"/>
          </w:tcPr>
          <w:p w:rsidR="0079377C" w:rsidRDefault="00D64D14">
            <w:pPr>
              <w:keepNext/>
              <w:keepLines/>
              <w:spacing w:after="0" w:line="240" w:lineRule="auto"/>
              <w:jc w:val="right"/>
            </w:pPr>
            <w:r>
              <w:rPr>
                <w:sz w:val="18"/>
              </w:rPr>
              <w:t>1.643.741,80</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U izvještajnom razdoblju došlo je do povećanja obveza u iznosu od 1.643.741,80 eur. Najveće povećanje bilježe obveze za zaposlene i obveze za materijalne rashode.</w:t>
      </w:r>
    </w:p>
    <w:p w:rsidR="0079377C" w:rsidRDefault="0079377C"/>
    <w:p w:rsidR="0079377C" w:rsidRDefault="00D64D14">
      <w:pPr>
        <w:keepNext/>
        <w:spacing w:line="240" w:lineRule="auto"/>
        <w:jc w:val="center"/>
      </w:pPr>
      <w:r>
        <w:rPr>
          <w:sz w:val="28"/>
        </w:rPr>
        <w:t>Bilješka 49.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 xml:space="preserve">Podmirene obveze u </w:t>
            </w:r>
            <w:r>
              <w:rPr>
                <w:sz w:val="18"/>
              </w:rPr>
              <w:t>izvještajnom razdoblju (šifre V005+P23+P24 + 'P dio 25,26'+P27)</w:t>
            </w:r>
          </w:p>
        </w:tc>
        <w:tc>
          <w:tcPr>
            <w:tcW w:w="700" w:type="dxa"/>
            <w:tcMar>
              <w:top w:w="0" w:type="dxa"/>
              <w:bottom w:w="0" w:type="dxa"/>
            </w:tcMar>
            <w:vAlign w:val="center"/>
          </w:tcPr>
          <w:p w:rsidR="0079377C" w:rsidRDefault="00D64D14">
            <w:pPr>
              <w:keepNext/>
              <w:keepLines/>
              <w:spacing w:after="0" w:line="240" w:lineRule="auto"/>
            </w:pPr>
            <w:r>
              <w:rPr>
                <w:sz w:val="18"/>
              </w:rPr>
              <w:t>V004</w:t>
            </w:r>
          </w:p>
        </w:tc>
        <w:tc>
          <w:tcPr>
            <w:tcW w:w="1860" w:type="dxa"/>
            <w:tcMar>
              <w:top w:w="0" w:type="dxa"/>
              <w:bottom w:w="0" w:type="dxa"/>
            </w:tcMar>
            <w:vAlign w:val="center"/>
          </w:tcPr>
          <w:p w:rsidR="0079377C" w:rsidRDefault="00D64D14">
            <w:pPr>
              <w:keepNext/>
              <w:keepLines/>
              <w:spacing w:after="0" w:line="240" w:lineRule="auto"/>
              <w:jc w:val="right"/>
            </w:pPr>
            <w:r>
              <w:rPr>
                <w:sz w:val="18"/>
              </w:rPr>
              <w:t>1.815.031,84</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Pomirene obveze u izvještajnom razdoblju iznose 1.815.031,84 eur i to obveze za rashode poslovanja u iznosu od 1.775.715,72 eur i obveze za nabavu nefinancijske imovine u iznosu od 39.316,12 eur.</w:t>
      </w:r>
    </w:p>
    <w:p w:rsidR="0079377C" w:rsidRDefault="0079377C"/>
    <w:p w:rsidR="0079377C" w:rsidRDefault="00D64D14">
      <w:pPr>
        <w:keepNext/>
        <w:spacing w:line="240" w:lineRule="auto"/>
        <w:jc w:val="center"/>
      </w:pPr>
      <w:r>
        <w:rPr>
          <w:sz w:val="28"/>
        </w:rPr>
        <w:t>Bilješka 50.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w:t>
            </w:r>
            <w:r>
              <w:rPr>
                <w:b/>
                <w:sz w:val="18"/>
              </w:rPr>
              <w:t>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79377C" w:rsidRDefault="00D64D14">
            <w:pPr>
              <w:keepNext/>
              <w:keepLines/>
              <w:spacing w:after="0" w:line="240" w:lineRule="auto"/>
            </w:pPr>
            <w:r>
              <w:rPr>
                <w:sz w:val="18"/>
              </w:rPr>
              <w:t>V006</w:t>
            </w:r>
          </w:p>
        </w:tc>
        <w:tc>
          <w:tcPr>
            <w:tcW w:w="1860" w:type="dxa"/>
            <w:tcMar>
              <w:top w:w="0" w:type="dxa"/>
              <w:bottom w:w="0" w:type="dxa"/>
            </w:tcMar>
            <w:vAlign w:val="center"/>
          </w:tcPr>
          <w:p w:rsidR="0079377C" w:rsidRDefault="00D64D14">
            <w:pPr>
              <w:keepNext/>
              <w:keepLines/>
              <w:spacing w:after="0" w:line="240" w:lineRule="auto"/>
              <w:jc w:val="right"/>
            </w:pPr>
            <w:r>
              <w:rPr>
                <w:sz w:val="18"/>
              </w:rPr>
              <w:t>154.775,42</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Stanje obveza na kraju razdoblja iznosi 154.775,42 eur, od čega je 767,52 dospjelo, a 154.007,90 je nedospjelo.</w:t>
      </w:r>
    </w:p>
    <w:p w:rsidR="0079377C" w:rsidRDefault="0079377C"/>
    <w:p w:rsidR="0079377C" w:rsidRDefault="00D64D14">
      <w:pPr>
        <w:keepNext/>
        <w:spacing w:line="240" w:lineRule="auto"/>
        <w:jc w:val="center"/>
      </w:pPr>
      <w:r>
        <w:rPr>
          <w:sz w:val="28"/>
        </w:rPr>
        <w:t>Bilješka 51.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9377C" w:rsidRDefault="00D64D14">
            <w:pPr>
              <w:keepNext/>
              <w:keepLines/>
              <w:spacing w:after="0" w:line="240" w:lineRule="auto"/>
            </w:pPr>
            <w:r>
              <w:rPr>
                <w:sz w:val="18"/>
              </w:rPr>
              <w:t>V007</w:t>
            </w:r>
          </w:p>
        </w:tc>
        <w:tc>
          <w:tcPr>
            <w:tcW w:w="1860" w:type="dxa"/>
            <w:tcMar>
              <w:top w:w="0" w:type="dxa"/>
              <w:bottom w:w="0" w:type="dxa"/>
            </w:tcMar>
            <w:vAlign w:val="center"/>
          </w:tcPr>
          <w:p w:rsidR="0079377C" w:rsidRDefault="00D64D14">
            <w:pPr>
              <w:keepNext/>
              <w:keepLines/>
              <w:spacing w:after="0" w:line="240" w:lineRule="auto"/>
              <w:jc w:val="right"/>
            </w:pPr>
            <w:r>
              <w:rPr>
                <w:sz w:val="18"/>
              </w:rPr>
              <w:t>767,52</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Dospjele obveze iznose 767,52 eur.  Od ukupnog iznosa dospjelih obveza 412,50 se odnosi na obveze za materijalne rashode , a prekoračenje roka plaćanja iznosi 20 dana. Nisu podmirene na vrijeme jer račun nije na vrijeme primljen.</w:t>
      </w:r>
    </w:p>
    <w:p w:rsidR="0079377C" w:rsidRDefault="00D64D14">
      <w:r>
        <w:t xml:space="preserve">Dospjele obveze za nabavu </w:t>
      </w:r>
      <w:r>
        <w:t>nefinancijske imovine iznose 355,02 eur. Ove obveze podmirene su u siječnju 2026.</w:t>
      </w:r>
    </w:p>
    <w:p w:rsidR="0079377C" w:rsidRDefault="0079377C"/>
    <w:p w:rsidR="0079377C" w:rsidRDefault="00D64D14">
      <w:pPr>
        <w:keepNext/>
        <w:spacing w:line="240" w:lineRule="auto"/>
        <w:jc w:val="center"/>
      </w:pPr>
      <w:r>
        <w:rPr>
          <w:sz w:val="28"/>
        </w:rPr>
        <w:t>Bilješka 52.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tblPr>
      <w:tblGrid>
        <w:gridCol w:w="883"/>
        <w:gridCol w:w="4008"/>
        <w:gridCol w:w="882"/>
        <w:gridCol w:w="2345"/>
        <w:gridCol w:w="882"/>
      </w:tblGrid>
      <w:tr w:rsidR="0079377C">
        <w:tblPrEx>
          <w:tblCellMar>
            <w:top w:w="0" w:type="dxa"/>
            <w:bottom w:w="0" w:type="dxa"/>
          </w:tblCellMar>
        </w:tblPrEx>
        <w:trPr>
          <w:cantSplit/>
        </w:trPr>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9377C" w:rsidRDefault="00D64D14">
            <w:pPr>
              <w:keepNext/>
              <w:keepLines/>
              <w:spacing w:after="0" w:line="240" w:lineRule="auto"/>
              <w:jc w:val="center"/>
            </w:pPr>
            <w:r>
              <w:rPr>
                <w:b/>
                <w:sz w:val="18"/>
              </w:rPr>
              <w:t>Indeks (%)</w:t>
            </w:r>
          </w:p>
        </w:tc>
      </w:tr>
      <w:tr w:rsidR="0079377C">
        <w:tblPrEx>
          <w:tblCellMar>
            <w:top w:w="0" w:type="dxa"/>
            <w:bottom w:w="0" w:type="dxa"/>
          </w:tblCellMar>
        </w:tblPrEx>
        <w:trPr>
          <w:cantSplit/>
          <w:trHeight w:val="560"/>
        </w:trPr>
        <w:tc>
          <w:tcPr>
            <w:tcW w:w="700" w:type="dxa"/>
            <w:tcMar>
              <w:top w:w="0" w:type="dxa"/>
              <w:bottom w:w="0" w:type="dxa"/>
            </w:tcMar>
            <w:vAlign w:val="center"/>
          </w:tcPr>
          <w:p w:rsidR="0079377C" w:rsidRDefault="0079377C">
            <w:pPr>
              <w:keepNext/>
              <w:keepLines/>
              <w:spacing w:after="0" w:line="240" w:lineRule="auto"/>
            </w:pPr>
          </w:p>
        </w:tc>
        <w:tc>
          <w:tcPr>
            <w:tcW w:w="3180" w:type="dxa"/>
            <w:tcMar>
              <w:top w:w="0" w:type="dxa"/>
              <w:bottom w:w="0" w:type="dxa"/>
            </w:tcMar>
            <w:vAlign w:val="center"/>
          </w:tcPr>
          <w:p w:rsidR="0079377C" w:rsidRDefault="00D64D14">
            <w:pPr>
              <w:keepNext/>
              <w:keepLines/>
              <w:spacing w:after="0" w:line="240" w:lineRule="auto"/>
            </w:pPr>
            <w:r>
              <w:rPr>
                <w:sz w:val="18"/>
              </w:rPr>
              <w:t xml:space="preserve">Stanje nedospjelih obveza na kraju izvještajnog razdoblja (šifre V010 + ND23 + ND24 + 'ND dio 25,26' + </w:t>
            </w:r>
            <w:r>
              <w:rPr>
                <w:sz w:val="18"/>
              </w:rPr>
              <w:t>ND27)</w:t>
            </w:r>
          </w:p>
        </w:tc>
        <w:tc>
          <w:tcPr>
            <w:tcW w:w="700" w:type="dxa"/>
            <w:tcMar>
              <w:top w:w="0" w:type="dxa"/>
              <w:bottom w:w="0" w:type="dxa"/>
            </w:tcMar>
            <w:vAlign w:val="center"/>
          </w:tcPr>
          <w:p w:rsidR="0079377C" w:rsidRDefault="00D64D14">
            <w:pPr>
              <w:keepNext/>
              <w:keepLines/>
              <w:spacing w:after="0" w:line="240" w:lineRule="auto"/>
            </w:pPr>
            <w:r>
              <w:rPr>
                <w:sz w:val="18"/>
              </w:rPr>
              <w:t>V009</w:t>
            </w:r>
          </w:p>
        </w:tc>
        <w:tc>
          <w:tcPr>
            <w:tcW w:w="1860" w:type="dxa"/>
            <w:tcMar>
              <w:top w:w="0" w:type="dxa"/>
              <w:bottom w:w="0" w:type="dxa"/>
            </w:tcMar>
            <w:vAlign w:val="center"/>
          </w:tcPr>
          <w:p w:rsidR="0079377C" w:rsidRDefault="00D64D14">
            <w:pPr>
              <w:keepNext/>
              <w:keepLines/>
              <w:spacing w:after="0" w:line="240" w:lineRule="auto"/>
              <w:jc w:val="right"/>
            </w:pPr>
            <w:r>
              <w:rPr>
                <w:sz w:val="18"/>
              </w:rPr>
              <w:t>154.007,90</w:t>
            </w:r>
          </w:p>
        </w:tc>
        <w:tc>
          <w:tcPr>
            <w:tcW w:w="700" w:type="dxa"/>
            <w:tcMar>
              <w:top w:w="0" w:type="dxa"/>
              <w:bottom w:w="0" w:type="dxa"/>
            </w:tcMar>
            <w:vAlign w:val="center"/>
          </w:tcPr>
          <w:p w:rsidR="0079377C" w:rsidRDefault="00D64D14">
            <w:pPr>
              <w:keepNext/>
              <w:keepLines/>
              <w:spacing w:after="0" w:line="240" w:lineRule="auto"/>
              <w:jc w:val="right"/>
            </w:pPr>
            <w:r>
              <w:rPr>
                <w:sz w:val="18"/>
              </w:rPr>
              <w:t>-</w:t>
            </w:r>
          </w:p>
        </w:tc>
      </w:tr>
    </w:tbl>
    <w:p w:rsidR="0079377C" w:rsidRDefault="0079377C">
      <w:pPr>
        <w:spacing w:after="0"/>
      </w:pPr>
    </w:p>
    <w:p w:rsidR="0079377C" w:rsidRDefault="00D64D14">
      <w:r>
        <w:t>Nedospjele obveze odnose se na rashode poslovanja, za nabavu nefinancijske imovine i obveze za primljeni predujam po projektu Rehbus.</w:t>
      </w:r>
    </w:p>
    <w:p w:rsidR="0079377C" w:rsidRDefault="00D64D14">
      <w:r>
        <w:t>Obveze za rashode poslovanja i nabavu nefinancijske imovine podmirene su u roku dospijeća, a obveza za primljeni predujam prenositi će se u skladu sa podnesenim Izvještajima o ostvarenju rashoda po projektu.</w:t>
      </w:r>
    </w:p>
    <w:p w:rsidR="0079377C" w:rsidRDefault="0079377C"/>
    <w:p w:rsidR="0079377C" w:rsidRDefault="00D64D14">
      <w:pPr>
        <w:keepNext/>
        <w:spacing w:line="240" w:lineRule="auto"/>
        <w:jc w:val="center"/>
      </w:pPr>
      <w:r>
        <w:rPr>
          <w:sz w:val="28"/>
        </w:rPr>
        <w:t>Bilješka 53.</w:t>
      </w:r>
    </w:p>
    <w:p w:rsidR="0079377C" w:rsidRDefault="00D64D14">
      <w:pPr>
        <w:spacing w:line="240" w:lineRule="auto"/>
        <w:jc w:val="both"/>
      </w:pPr>
      <w:r>
        <w:rPr>
          <w:b/>
        </w:rPr>
        <w:t>EU izvještaj</w:t>
      </w:r>
    </w:p>
    <w:p w:rsidR="0079377C" w:rsidRDefault="00D64D14">
      <w:r>
        <w:t>Uz financijske izvješ</w:t>
      </w:r>
      <w:r>
        <w:t>taje za 2025.godinu predaje se i EU izvještaj po izvorima financiranja. Navedeni izvještaj obuhvaća ukupno izvor financiranja za praćenje EU sredstava, EU izvještaj po izvorima financiranja -510 programi unije, EU izvještaj po izvorima financiranja -561 Eu</w:t>
      </w:r>
      <w:r>
        <w:t>ropski socijalni fond i EU izvještaj po izvorima financiranja-563 Europski fond za regionalni razvoj.</w:t>
      </w:r>
    </w:p>
    <w:p w:rsidR="0079377C" w:rsidRDefault="00D64D14">
      <w:r>
        <w:t>Nacionalno sufinanciranje nije popunjeno jer nisu bili sklopljeni ugovori o nacionalnom sufinanciranju.</w:t>
      </w:r>
    </w:p>
    <w:p w:rsidR="0079377C" w:rsidRDefault="0079377C"/>
    <w:sectPr w:rsidR="007937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79377C"/>
    <w:rsid w:val="0079377C"/>
    <w:rsid w:val="00D64D1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377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3570</Words>
  <Characters>20349</Characters>
  <Application>Microsoft Office Word</Application>
  <DocSecurity>0</DocSecurity>
  <Lines>169</Lines>
  <Paragraphs>47</Paragraphs>
  <ScaleCrop>false</ScaleCrop>
  <Company/>
  <LinksUpToDate>false</LinksUpToDate>
  <CharactersWithSpaces>23872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2026-01-30T17:07:00Z</dcterms:created>
  <dcterms:modified xsi:type="dcterms:W3CDTF">2026-01-30T17:07:00Z</dcterms:modified>
</cp:coreProperties>
</file>